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media/image9.png" ContentType="image/png"/>
  <Override PartName="/word/media/image10.jpeg" ContentType="image/jpeg"/>
  <Override PartName="/word/media/image11.png" ContentType="image/png"/>
  <Override PartName="/word/media/image12.png" ContentType="image/png"/>
  <Override PartName="/word/media/image13.png" ContentType="image/png"/>
  <Override PartName="/word/media/image14.png" ContentType="image/png"/>
  <Override PartName="/word/media/image15.png" ContentType="image/png"/>
  <Override PartName="/word/media/hdphoto1.wdp" ContentType="image/vnd.ms-photo"/>
  <Override PartName="/word/media/image16.png" ContentType="image/png"/>
  <Override PartName="/word/media/hdphoto2.wdp" ContentType="image/vnd.ms-photo"/>
  <Override PartName="/word/footer4.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3.xml.rels" ContentType="application/vnd.openxmlformats-package.relationships+xml"/>
  <Override PartName="/word/_rels/header2.xml.rels" ContentType="application/vnd.openxmlformats-package.relationships+xml"/>
  <Override PartName="/word/_rels/header10.xml.rels" ContentType="application/vnd.openxmlformats-package.relationships+xml"/>
  <Override PartName="/word/_rels/header4.xml.rels" ContentType="application/vnd.openxmlformats-package.relationships+xml"/>
  <Override PartName="/word/_rels/footer10.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right="-2" w:hanging="0"/>
        <w:rPr>
          <w:rFonts w:ascii="Arial" w:hAnsi="Arial" w:cs="Arial"/>
          <w:color w:val="484D7A"/>
          <w:sz w:val="18"/>
          <w:szCs w:val="18"/>
        </w:rPr>
      </w:pPr>
      <w:r>
        <w:rPr>
          <w:rFonts w:cs="Arial" w:ascii="Arial" w:hAnsi="Arial"/>
          <w:color w:val="484D7A"/>
          <w:sz w:val="18"/>
          <w:szCs w:val="18"/>
        </w:rPr>
      </w:r>
    </w:p>
    <w:p>
      <w:pPr>
        <w:pStyle w:val="Normal"/>
        <w:tabs>
          <w:tab w:val="clear" w:pos="708"/>
          <w:tab w:val="left" w:pos="472" w:leader="none"/>
        </w:tabs>
        <w:ind w:right="-2" w:hanging="0"/>
        <w:rPr>
          <w:rFonts w:ascii="Arial" w:hAnsi="Arial" w:cs="Arial"/>
          <w:color w:val="484D7A"/>
          <w:sz w:val="18"/>
          <w:szCs w:val="18"/>
        </w:rPr>
      </w:pPr>
      <w:r>
        <w:rPr>
          <w:rFonts w:cs="Arial" w:ascii="Arial" w:hAnsi="Arial"/>
          <w:color w:val="484D7A"/>
          <w:sz w:val="18"/>
          <w:szCs w:val="18"/>
        </w:rPr>
        <w:tab/>
      </w:r>
    </w:p>
    <w:p>
      <w:pPr>
        <w:pStyle w:val="Normal"/>
        <w:ind w:right="-2" w:hanging="0"/>
        <w:jc w:val="right"/>
        <w:rPr>
          <w:rFonts w:ascii="Arial" w:hAnsi="Arial" w:cs="Arial"/>
          <w:color w:val="484D7A"/>
          <w:sz w:val="18"/>
          <w:szCs w:val="18"/>
        </w:rPr>
      </w:pPr>
      <w:r>
        <w:rPr>
          <w:rFonts w:cs="Arial" w:ascii="Arial" w:hAnsi="Arial"/>
          <w:color w:val="484D7A"/>
          <w:sz w:val="18"/>
          <w:szCs w:val="18"/>
        </w:rPr>
      </w:r>
    </w:p>
    <w:p>
      <w:pPr>
        <w:pStyle w:val="Normal"/>
        <w:ind w:right="-2" w:hanging="0"/>
        <w:jc w:val="center"/>
        <w:rPr>
          <w:rFonts w:ascii="Arial" w:hAnsi="Arial" w:cs="Arial"/>
          <w:b/>
          <w:b/>
          <w:bCs/>
          <w:color w:val="484D7A"/>
          <w:sz w:val="36"/>
          <w:szCs w:val="36"/>
        </w:rPr>
      </w:pPr>
      <w:r>
        <w:rPr/>
        <mc:AlternateContent>
          <mc:Choice Requires="wps">
            <w:drawing>
              <wp:anchor behindDoc="0" distT="3175" distB="3175" distL="3175" distR="3175" simplePos="0" locked="0" layoutInCell="0" allowOverlap="1" relativeHeight="8" wp14:anchorId="79510E63">
                <wp:simplePos x="0" y="0"/>
                <wp:positionH relativeFrom="column">
                  <wp:posOffset>3855085</wp:posOffset>
                </wp:positionH>
                <wp:positionV relativeFrom="paragraph">
                  <wp:posOffset>396240</wp:posOffset>
                </wp:positionV>
                <wp:extent cx="3213735" cy="405765"/>
                <wp:effectExtent l="0" t="0" r="0" b="1905"/>
                <wp:wrapNone/>
                <wp:docPr id="1" name="Zone de texte 13"/>
                <a:graphic xmlns:a="http://schemas.openxmlformats.org/drawingml/2006/main">
                  <a:graphicData uri="http://schemas.microsoft.com/office/word/2010/wordprocessingShape">
                    <wps:wsp>
                      <wps:cNvSpPr/>
                      <wps:spPr>
                        <a:xfrm>
                          <a:off x="0" y="0"/>
                          <a:ext cx="3213000" cy="405000"/>
                        </a:xfrm>
                        <a:prstGeom prst="rect">
                          <a:avLst/>
                        </a:prstGeom>
                        <a:solidFill>
                          <a:srgbClr val="ef7757"/>
                        </a:solidFill>
                        <a:ln w="6350">
                          <a:noFill/>
                        </a:ln>
                      </wps:spPr>
                      <wps:style>
                        <a:lnRef idx="0"/>
                        <a:fillRef idx="0"/>
                        <a:effectRef idx="0"/>
                        <a:fontRef idx="minor"/>
                      </wps:style>
                      <wps:txbx>
                        <w:txbxContent>
                          <w:p>
                            <w:pPr>
                              <w:pStyle w:val="Contenudecadre"/>
                              <w:ind w:right="793" w:hanging="0"/>
                              <w:jc w:val="right"/>
                              <w:rPr>
                                <w:rFonts w:ascii="Arial" w:hAnsi="Arial" w:cs="Arial"/>
                                <w:color w:val="FFFFFF" w:themeColor="background1"/>
                                <w:sz w:val="36"/>
                                <w:szCs w:val="36"/>
                              </w:rPr>
                            </w:pPr>
                            <w:r>
                              <w:rPr>
                                <w:rFonts w:cs="Arial" w:ascii="Arial" w:hAnsi="Arial"/>
                                <w:color w:val="FFFFFF" w:themeColor="background1"/>
                                <w:sz w:val="36"/>
                                <w:szCs w:val="36"/>
                              </w:rPr>
                              <w:t>RAPPORT D’ETUDE</w:t>
                            </w:r>
                          </w:p>
                        </w:txbxContent>
                      </wps:txbx>
                      <wps:bodyPr>
                        <a:prstTxWarp prst="textNoShape"/>
                        <a:noAutofit/>
                      </wps:bodyPr>
                    </wps:wsp>
                  </a:graphicData>
                </a:graphic>
              </wp:anchor>
            </w:drawing>
          </mc:Choice>
          <mc:Fallback>
            <w:pict>
              <v:rect id="shape_0" ID="Zone de texte 13" path="m0,0l-2147483645,0l-2147483645,-2147483646l0,-2147483646xe" fillcolor="#ef7757" stroked="f" style="position:absolute;margin-left:303.55pt;margin-top:31.2pt;width:252.95pt;height:31.85pt;mso-wrap-style:square;v-text-anchor:top" wp14:anchorId="79510E63">
                <v:fill o:detectmouseclick="t" type="solid" color2="#1088a8"/>
                <v:stroke color="#3465a4" weight="6480" joinstyle="round" endcap="flat"/>
                <v:textbox>
                  <w:txbxContent>
                    <w:p>
                      <w:pPr>
                        <w:pStyle w:val="Contenudecadre"/>
                        <w:ind w:right="793" w:hanging="0"/>
                        <w:jc w:val="right"/>
                        <w:rPr>
                          <w:rFonts w:ascii="Arial" w:hAnsi="Arial" w:cs="Arial"/>
                          <w:color w:val="FFFFFF" w:themeColor="background1"/>
                          <w:sz w:val="36"/>
                          <w:szCs w:val="36"/>
                        </w:rPr>
                      </w:pPr>
                      <w:r>
                        <w:rPr>
                          <w:rFonts w:cs="Arial" w:ascii="Arial" w:hAnsi="Arial"/>
                          <w:color w:val="FFFFFF" w:themeColor="background1"/>
                          <w:sz w:val="36"/>
                          <w:szCs w:val="36"/>
                        </w:rPr>
                        <w:t>RAPPORT D’ETUDE</w:t>
                      </w:r>
                    </w:p>
                  </w:txbxContent>
                </v:textbox>
                <w10:wrap type="none"/>
              </v:rect>
            </w:pict>
          </mc:Fallback>
        </mc:AlternateContent>
        <mc:AlternateContent>
          <mc:Choice Requires="wps">
            <w:drawing>
              <wp:anchor behindDoc="0" distT="3175" distB="3175" distL="3175" distR="0" simplePos="0" locked="0" layoutInCell="0" allowOverlap="1" relativeHeight="9" wp14:anchorId="42FA6886">
                <wp:simplePos x="0" y="0"/>
                <wp:positionH relativeFrom="column">
                  <wp:posOffset>551815</wp:posOffset>
                </wp:positionH>
                <wp:positionV relativeFrom="paragraph">
                  <wp:posOffset>7476490</wp:posOffset>
                </wp:positionV>
                <wp:extent cx="5290820" cy="551180"/>
                <wp:effectExtent l="0" t="0" r="5715" b="0"/>
                <wp:wrapNone/>
                <wp:docPr id="3" name="Zone de texte 16"/>
                <a:graphic xmlns:a="http://schemas.openxmlformats.org/drawingml/2006/main">
                  <a:graphicData uri="http://schemas.microsoft.com/office/word/2010/wordprocessingShape">
                    <wps:wsp>
                      <wps:cNvSpPr/>
                      <wps:spPr>
                        <a:xfrm>
                          <a:off x="0" y="0"/>
                          <a:ext cx="5290200" cy="550440"/>
                        </a:xfrm>
                        <a:prstGeom prst="rect">
                          <a:avLst/>
                        </a:prstGeom>
                        <a:solidFill>
                          <a:srgbClr val="484d7a"/>
                        </a:solidFill>
                        <a:ln w="6350">
                          <a:noFill/>
                        </a:ln>
                      </wps:spPr>
                      <wps:style>
                        <a:lnRef idx="0"/>
                        <a:fillRef idx="0"/>
                        <a:effectRef idx="0"/>
                        <a:fontRef idx="minor"/>
                      </wps:style>
                      <wps:txbx>
                        <w:txbxContent>
                          <w:p>
                            <w:pPr>
                              <w:pStyle w:val="Contenudecadre"/>
                              <w:ind w:left="142" w:hanging="0"/>
                              <w:rPr>
                                <w:rFonts w:ascii="Arial" w:hAnsi="Arial" w:cs="Arial"/>
                                <w:color w:val="FFFFFF" w:themeColor="background1"/>
                                <w:sz w:val="32"/>
                                <w:szCs w:val="32"/>
                              </w:rPr>
                            </w:pPr>
                            <w:r>
                              <w:rPr>
                                <w:rFonts w:cs="Arial" w:ascii="Arial" w:hAnsi="Arial"/>
                                <w:color w:val="FFFFFF" w:themeColor="background1"/>
                                <w:sz w:val="32"/>
                                <w:szCs w:val="32"/>
                              </w:rPr>
                              <w:t>Cartes de Bruit Stratégiques du département 088 pour les réseaux routier et ferroviaire non concédés</w:t>
                            </w:r>
                          </w:p>
                        </w:txbxContent>
                      </wps:txbx>
                      <wps:bodyPr>
                        <a:prstTxWarp prst="textNoShape"/>
                        <a:noAutofit/>
                      </wps:bodyPr>
                    </wps:wsp>
                  </a:graphicData>
                </a:graphic>
              </wp:anchor>
            </w:drawing>
          </mc:Choice>
          <mc:Fallback>
            <w:pict>
              <v:rect id="shape_0" ID="Zone de texte 16" path="m0,0l-2147483645,0l-2147483645,-2147483646l0,-2147483646xe" fillcolor="#484d7a" stroked="f" style="position:absolute;margin-left:43.45pt;margin-top:588.7pt;width:416.5pt;height:43.3pt;mso-wrap-style:square;v-text-anchor:top" wp14:anchorId="42FA6886">
                <v:fill o:detectmouseclick="t" type="solid" color2="#b7b285"/>
                <v:stroke color="#3465a4" weight="6480" joinstyle="round" endcap="flat"/>
                <v:textbox>
                  <w:txbxContent>
                    <w:p>
                      <w:pPr>
                        <w:pStyle w:val="Contenudecadre"/>
                        <w:ind w:left="142" w:hanging="0"/>
                        <w:rPr>
                          <w:rFonts w:ascii="Arial" w:hAnsi="Arial" w:cs="Arial"/>
                          <w:color w:val="FFFFFF" w:themeColor="background1"/>
                          <w:sz w:val="32"/>
                          <w:szCs w:val="32"/>
                        </w:rPr>
                      </w:pPr>
                      <w:r>
                        <w:rPr>
                          <w:rFonts w:cs="Arial" w:ascii="Arial" w:hAnsi="Arial"/>
                          <w:color w:val="FFFFFF" w:themeColor="background1"/>
                          <w:sz w:val="32"/>
                          <w:szCs w:val="32"/>
                        </w:rPr>
                        <w:t>Cartes de Bruit Stratégiques du département 088 pour les réseaux routier et ferroviaire non concédés</w:t>
                      </w:r>
                    </w:p>
                  </w:txbxContent>
                </v:textbox>
                <w10:wrap type="none"/>
              </v:rect>
            </w:pict>
          </mc:Fallback>
        </mc:AlternateContent>
        <mc:AlternateContent>
          <mc:Choice Requires="wps">
            <w:drawing>
              <wp:anchor behindDoc="0" distT="3175" distB="3175" distL="3175" distR="3175" simplePos="0" locked="0" layoutInCell="0" allowOverlap="1" relativeHeight="11" wp14:anchorId="6BED3E7C">
                <wp:simplePos x="0" y="0"/>
                <wp:positionH relativeFrom="column">
                  <wp:posOffset>-50800</wp:posOffset>
                </wp:positionH>
                <wp:positionV relativeFrom="paragraph">
                  <wp:posOffset>6986905</wp:posOffset>
                </wp:positionV>
                <wp:extent cx="5248910" cy="483870"/>
                <wp:effectExtent l="0" t="0" r="0" b="0"/>
                <wp:wrapNone/>
                <wp:docPr id="5" name="Zone de texte 15"/>
                <a:graphic xmlns:a="http://schemas.openxmlformats.org/drawingml/2006/main">
                  <a:graphicData uri="http://schemas.microsoft.com/office/word/2010/wordprocessingShape">
                    <wps:wsp>
                      <wps:cNvSpPr/>
                      <wps:spPr>
                        <a:xfrm>
                          <a:off x="0" y="0"/>
                          <a:ext cx="5248440" cy="483120"/>
                        </a:xfrm>
                        <a:prstGeom prst="rect">
                          <a:avLst/>
                        </a:prstGeom>
                        <a:solidFill>
                          <a:schemeClr val="lt1"/>
                        </a:solidFill>
                        <a:ln w="6350">
                          <a:noFill/>
                        </a:ln>
                      </wps:spPr>
                      <wps:style>
                        <a:lnRef idx="0"/>
                        <a:fillRef idx="0"/>
                        <a:effectRef idx="0"/>
                        <a:fontRef idx="minor"/>
                      </wps:style>
                      <wps:txbx>
                        <w:txbxContent>
                          <w:p>
                            <w:pPr>
                              <w:pStyle w:val="Contenudecadre"/>
                              <w:ind w:left="284" w:hanging="0"/>
                              <w:rPr>
                                <w:rFonts w:ascii="Arial" w:hAnsi="Arial" w:cs="Arial"/>
                                <w:color w:val="484D7A"/>
                                <w:sz w:val="40"/>
                                <w:szCs w:val="40"/>
                              </w:rPr>
                            </w:pPr>
                            <w:r>
                              <w:rPr>
                                <w:rFonts w:cs="Arial" w:ascii="Arial" w:hAnsi="Arial"/>
                                <w:color w:val="484D7A"/>
                                <w:sz w:val="40"/>
                                <w:szCs w:val="40"/>
                              </w:rPr>
                              <w:t>Résumé non technique</w:t>
                            </w:r>
                          </w:p>
                        </w:txbxContent>
                      </wps:txbx>
                      <wps:bodyPr>
                        <a:prstTxWarp prst="textNoShape"/>
                        <a:noAutofit/>
                      </wps:bodyPr>
                    </wps:wsp>
                  </a:graphicData>
                </a:graphic>
              </wp:anchor>
            </w:drawing>
          </mc:Choice>
          <mc:Fallback>
            <w:pict>
              <v:rect id="shape_0" ID="Zone de texte 15" path="m0,0l-2147483645,0l-2147483645,-2147483646l0,-2147483646xe" fillcolor="white" stroked="f" style="position:absolute;margin-left:-4pt;margin-top:550.15pt;width:413.2pt;height:38pt;mso-wrap-style:square;v-text-anchor:top" wp14:anchorId="6BED3E7C">
                <v:fill o:detectmouseclick="t" type="solid" color2="black"/>
                <v:stroke color="#3465a4" weight="6480" joinstyle="round" endcap="flat"/>
                <v:textbox>
                  <w:txbxContent>
                    <w:p>
                      <w:pPr>
                        <w:pStyle w:val="Contenudecadre"/>
                        <w:ind w:left="284" w:hanging="0"/>
                        <w:rPr>
                          <w:rFonts w:ascii="Arial" w:hAnsi="Arial" w:cs="Arial"/>
                          <w:color w:val="484D7A"/>
                          <w:sz w:val="40"/>
                          <w:szCs w:val="40"/>
                        </w:rPr>
                      </w:pPr>
                      <w:r>
                        <w:rPr>
                          <w:rFonts w:cs="Arial" w:ascii="Arial" w:hAnsi="Arial"/>
                          <w:color w:val="484D7A"/>
                          <w:sz w:val="40"/>
                          <w:szCs w:val="40"/>
                        </w:rPr>
                        <w:t>Résumé non technique</w:t>
                      </w:r>
                    </w:p>
                  </w:txbxContent>
                </v:textbox>
                <w10:wrap type="none"/>
              </v:rect>
            </w:pict>
          </mc:Fallback>
        </mc:AlternateContent>
        <mc:AlternateContent>
          <mc:Choice Requires="wps">
            <w:drawing>
              <wp:anchor behindDoc="0" distT="3175" distB="3175" distL="3175" distR="0" simplePos="0" locked="0" layoutInCell="0" allowOverlap="1" relativeHeight="12" wp14:anchorId="487FC45D">
                <wp:simplePos x="0" y="0"/>
                <wp:positionH relativeFrom="column">
                  <wp:posOffset>4302125</wp:posOffset>
                </wp:positionH>
                <wp:positionV relativeFrom="paragraph">
                  <wp:posOffset>765175</wp:posOffset>
                </wp:positionV>
                <wp:extent cx="2232025" cy="302895"/>
                <wp:effectExtent l="0" t="0" r="4445" b="2540"/>
                <wp:wrapNone/>
                <wp:docPr id="7" name="Zone de texte 18"/>
                <a:graphic xmlns:a="http://schemas.openxmlformats.org/drawingml/2006/main">
                  <a:graphicData uri="http://schemas.microsoft.com/office/word/2010/wordprocessingShape">
                    <wps:wsp>
                      <wps:cNvSpPr/>
                      <wps:spPr>
                        <a:xfrm>
                          <a:off x="0" y="0"/>
                          <a:ext cx="2231280" cy="302400"/>
                        </a:xfrm>
                        <a:prstGeom prst="rect">
                          <a:avLst/>
                        </a:prstGeom>
                        <a:solidFill>
                          <a:schemeClr val="lt1"/>
                        </a:solidFill>
                        <a:ln w="6350">
                          <a:noFill/>
                        </a:ln>
                      </wps:spPr>
                      <wps:style>
                        <a:lnRef idx="0"/>
                        <a:fillRef idx="0"/>
                        <a:effectRef idx="0"/>
                        <a:fontRef idx="minor"/>
                      </wps:style>
                      <wps:txbx>
                        <w:txbxContent>
                          <w:p>
                            <w:pPr>
                              <w:pStyle w:val="Contenudecadre"/>
                              <w:ind w:left="284" w:hanging="0"/>
                              <w:jc w:val="right"/>
                              <w:rPr>
                                <w:rFonts w:ascii="Arial" w:hAnsi="Arial" w:cs="Arial"/>
                                <w:color w:val="EF7757"/>
                                <w:sz w:val="22"/>
                                <w:szCs w:val="22"/>
                              </w:rPr>
                            </w:pPr>
                            <w:r>
                              <w:rPr>
                                <w:rFonts w:cs="Arial" w:ascii="Arial" w:hAnsi="Arial"/>
                                <w:color w:val="EF7757"/>
                                <w:sz w:val="22"/>
                                <w:szCs w:val="22"/>
                              </w:rPr>
                              <w:t>Janvier</w:t>
                            </w:r>
                            <w:bookmarkStart w:id="0" w:name="_GoBack"/>
                            <w:bookmarkEnd w:id="0"/>
                            <w:r>
                              <w:rPr>
                                <w:rFonts w:cs="Arial" w:ascii="Arial" w:hAnsi="Arial"/>
                                <w:color w:val="EF7757"/>
                                <w:sz w:val="22"/>
                                <w:szCs w:val="22"/>
                              </w:rPr>
                              <w:t xml:space="preserve"> 2023</w:t>
                            </w:r>
                          </w:p>
                        </w:txbxContent>
                      </wps:txbx>
                      <wps:bodyPr>
                        <a:prstTxWarp prst="textNoShape"/>
                        <a:noAutofit/>
                      </wps:bodyPr>
                    </wps:wsp>
                  </a:graphicData>
                </a:graphic>
              </wp:anchor>
            </w:drawing>
          </mc:Choice>
          <mc:Fallback>
            <w:pict>
              <v:rect id="shape_0" ID="Zone de texte 18" path="m0,0l-2147483645,0l-2147483645,-2147483646l0,-2147483646xe" fillcolor="white" stroked="f" style="position:absolute;margin-left:338.75pt;margin-top:60.25pt;width:175.65pt;height:23.75pt;mso-wrap-style:square;v-text-anchor:top" wp14:anchorId="487FC45D">
                <v:fill o:detectmouseclick="t" type="solid" color2="black"/>
                <v:stroke color="#3465a4" weight="6480" joinstyle="round" endcap="flat"/>
                <v:textbox>
                  <w:txbxContent>
                    <w:p>
                      <w:pPr>
                        <w:pStyle w:val="Contenudecadre"/>
                        <w:ind w:left="284" w:hanging="0"/>
                        <w:jc w:val="right"/>
                        <w:rPr>
                          <w:rFonts w:ascii="Arial" w:hAnsi="Arial" w:cs="Arial"/>
                          <w:color w:val="EF7757"/>
                          <w:sz w:val="22"/>
                          <w:szCs w:val="22"/>
                        </w:rPr>
                      </w:pPr>
                      <w:r>
                        <w:rPr>
                          <w:rFonts w:cs="Arial" w:ascii="Arial" w:hAnsi="Arial"/>
                          <w:color w:val="EF7757"/>
                          <w:sz w:val="22"/>
                          <w:szCs w:val="22"/>
                        </w:rPr>
                        <w:t>Janvier</w:t>
                      </w:r>
                      <w:bookmarkStart w:id="1" w:name="_GoBack"/>
                      <w:bookmarkEnd w:id="1"/>
                      <w:r>
                        <w:rPr>
                          <w:rFonts w:cs="Arial" w:ascii="Arial" w:hAnsi="Arial"/>
                          <w:color w:val="EF7757"/>
                          <w:sz w:val="22"/>
                          <w:szCs w:val="22"/>
                        </w:rPr>
                        <w:t xml:space="preserve"> 2023</w:t>
                      </w:r>
                    </w:p>
                  </w:txbxContent>
                </v:textbox>
                <w10:wrap type="none"/>
              </v:rect>
            </w:pict>
          </mc:Fallback>
        </mc:AlternateContent>
        <w:drawing>
          <wp:inline distT="0" distB="0" distL="0" distR="0">
            <wp:extent cx="7589520" cy="7807960"/>
            <wp:effectExtent l="0" t="0" r="0" b="0"/>
            <wp:docPr id="9"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2" descr=""/>
                    <pic:cNvPicPr>
                      <a:picLocks noChangeAspect="1" noChangeArrowheads="1"/>
                    </pic:cNvPicPr>
                  </pic:nvPicPr>
                  <pic:blipFill>
                    <a:blip r:embed="rId2"/>
                    <a:stretch>
                      <a:fillRect/>
                    </a:stretch>
                  </pic:blipFill>
                  <pic:spPr bwMode="auto">
                    <a:xfrm>
                      <a:off x="0" y="0"/>
                      <a:ext cx="7589520" cy="7807960"/>
                    </a:xfrm>
                    <a:prstGeom prst="rect">
                      <a:avLst/>
                    </a:prstGeom>
                  </pic:spPr>
                </pic:pic>
              </a:graphicData>
            </a:graphic>
          </wp:inline>
        </w:drawing>
      </w:r>
    </w:p>
    <w:p>
      <w:pPr>
        <w:pStyle w:val="Normal"/>
        <w:ind w:right="-2" w:hanging="0"/>
        <w:jc w:val="center"/>
        <w:rPr>
          <w:rFonts w:ascii="Arial" w:hAnsi="Arial" w:cs="Arial"/>
          <w:b/>
          <w:b/>
          <w:bCs/>
          <w:color w:val="484D7A"/>
          <w:sz w:val="36"/>
          <w:szCs w:val="36"/>
        </w:rPr>
      </w:pPr>
      <w:r>
        <w:rPr>
          <w:rFonts w:cs="Arial" w:ascii="Arial" w:hAnsi="Arial"/>
          <w:b/>
          <w:bCs/>
          <w:color w:val="484D7A"/>
          <w:sz w:val="36"/>
          <w:szCs w:val="36"/>
        </w:rPr>
      </w:r>
    </w:p>
    <w:p>
      <w:pPr>
        <w:sectPr>
          <w:headerReference w:type="even" r:id="rId3"/>
          <w:headerReference w:type="default" r:id="rId4"/>
          <w:headerReference w:type="first" r:id="rId5"/>
          <w:footerReference w:type="even" r:id="rId6"/>
          <w:footerReference w:type="default" r:id="rId7"/>
          <w:footerReference w:type="first" r:id="rId8"/>
          <w:type w:val="nextPage"/>
          <w:pgSz w:w="11906" w:h="16838"/>
          <w:pgMar w:left="964" w:right="871" w:header="741" w:top="964" w:footer="84" w:bottom="964" w:gutter="0"/>
          <w:pgNumType w:fmt="decimal"/>
          <w:formProt w:val="false"/>
          <w:titlePg/>
          <w:textDirection w:val="lrTb"/>
          <w:docGrid w:type="default" w:linePitch="360" w:charSpace="0"/>
        </w:sectPr>
      </w:pPr>
    </w:p>
    <w:p>
      <w:pPr>
        <w:pStyle w:val="Normal"/>
        <w:ind w:right="-2" w:hanging="0"/>
        <w:rPr>
          <w:rFonts w:ascii="Arial" w:hAnsi="Arial" w:cs="Arial"/>
          <w:color w:val="484D7A"/>
        </w:rPr>
      </w:pPr>
      <w:r>
        <w:rPr>
          <w:rFonts w:cs="Arial" w:ascii="Arial" w:hAnsi="Arial"/>
          <w:color w:val="484D7A"/>
        </w:rPr>
        <mc:AlternateContent>
          <mc:Choice Requires="wps">
            <w:drawing>
              <wp:anchor behindDoc="0" distT="6350" distB="6350" distL="6350" distR="6350" simplePos="0" locked="0" layoutInCell="0" allowOverlap="1" relativeHeight="36" wp14:anchorId="7E05FABF">
                <wp:simplePos x="0" y="0"/>
                <wp:positionH relativeFrom="column">
                  <wp:posOffset>2593340</wp:posOffset>
                </wp:positionH>
                <wp:positionV relativeFrom="paragraph">
                  <wp:posOffset>127635</wp:posOffset>
                </wp:positionV>
                <wp:extent cx="716915" cy="471170"/>
                <wp:effectExtent l="0" t="0" r="0" b="0"/>
                <wp:wrapNone/>
                <wp:docPr id="13" name="Rectangle 33"/>
                <a:graphic xmlns:a="http://schemas.openxmlformats.org/drawingml/2006/main">
                  <a:graphicData uri="http://schemas.microsoft.com/office/word/2010/wordprocessingShape">
                    <wps:wsp>
                      <wps:cNvSpPr/>
                      <wps:spPr>
                        <a:xfrm>
                          <a:off x="0" y="0"/>
                          <a:ext cx="716400" cy="470520"/>
                        </a:xfrm>
                        <a:prstGeom prst="rect">
                          <a:avLst/>
                        </a:prstGeom>
                        <a:noFill/>
                        <a:ln>
                          <a:noFill/>
                        </a:ln>
                      </wps:spPr>
                      <wps:style>
                        <a:lnRef idx="2">
                          <a:schemeClr val="accent1">
                            <a:shade val="50000"/>
                          </a:schemeClr>
                        </a:lnRef>
                        <a:fillRef idx="1">
                          <a:schemeClr val="accent1"/>
                        </a:fillRef>
                        <a:effectRef idx="0">
                          <a:schemeClr val="accent1"/>
                        </a:effectRef>
                        <a:fontRef idx="minor"/>
                      </wps:style>
                      <wps:txbx>
                        <w:txbxContent>
                          <w:p>
                            <w:pPr>
                              <w:pStyle w:val="Contenudecadre"/>
                              <w:rPr>
                                <w:color w:val="FFFFFF"/>
                              </w:rPr>
                            </w:pPr>
                            <w:r>
                              <w:rPr>
                                <w:color w:val="FFFFFF"/>
                              </w:rPr>
                              <w:drawing>
                                <wp:inline distT="0" distB="0" distL="0" distR="0">
                                  <wp:extent cx="454025" cy="366395"/>
                                  <wp:effectExtent l="0" t="0" r="0" b="0"/>
                                  <wp:docPr id="15" name="Image 19" descr="UM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9" descr="UMRAE"/>
                                          <pic:cNvPicPr>
                                            <a:picLocks noChangeAspect="1" noChangeArrowheads="1"/>
                                          </pic:cNvPicPr>
                                        </pic:nvPicPr>
                                        <pic:blipFill>
                                          <a:blip r:embed="rId9"/>
                                          <a:stretch>
                                            <a:fillRect/>
                                          </a:stretch>
                                        </pic:blipFill>
                                        <pic:spPr bwMode="auto">
                                          <a:xfrm>
                                            <a:off x="0" y="0"/>
                                            <a:ext cx="454025" cy="366395"/>
                                          </a:xfrm>
                                          <a:prstGeom prst="rect">
                                            <a:avLst/>
                                          </a:prstGeom>
                                        </pic:spPr>
                                      </pic:pic>
                                    </a:graphicData>
                                  </a:graphic>
                                </wp:inline>
                              </w:drawing>
                            </w:r>
                          </w:p>
                          <w:p>
                            <w:pPr>
                              <w:pStyle w:val="Contenudecadre"/>
                              <w:ind w:right="-75" w:hanging="0"/>
                              <w:jc w:val="center"/>
                              <w:rPr>
                                <w:rFonts w:ascii="Arial" w:hAnsi="Arial" w:cs="Arial"/>
                                <w:sz w:val="18"/>
                                <w:szCs w:val="18"/>
                              </w:rPr>
                            </w:pPr>
                            <w:r>
                              <w:rPr>
                                <w:color w:val="FFFFFF"/>
                              </w:rPr>
                            </w:r>
                          </w:p>
                        </w:txbxContent>
                      </wps:txbx>
                      <wps:bodyPr anchor="ctr">
                        <a:prstTxWarp prst="textNoShape"/>
                        <a:noAutofit/>
                      </wps:bodyPr>
                    </wps:wsp>
                  </a:graphicData>
                </a:graphic>
              </wp:anchor>
            </w:drawing>
          </mc:Choice>
          <mc:Fallback>
            <w:pict>
              <v:rect id="shape_0" ID="Rectangle 33" path="m0,0l-2147483645,0l-2147483645,-2147483646l0,-2147483646xe" stroked="f" style="position:absolute;margin-left:204.2pt;margin-top:10.05pt;width:56.35pt;height:37pt;mso-wrap-style:square;v-text-anchor:middle" wp14:anchorId="7E05FABF">
                <v:fill o:detectmouseclick="t" on="false"/>
                <v:stroke color="#3465a4" weight="12600" joinstyle="miter" endcap="flat"/>
                <v:textbox>
                  <w:txbxContent>
                    <w:p>
                      <w:pPr>
                        <w:pStyle w:val="Contenudecadre"/>
                        <w:rPr>
                          <w:color w:val="FFFFFF"/>
                        </w:rPr>
                      </w:pPr>
                      <w:r>
                        <w:rPr>
                          <w:color w:val="FFFFFF"/>
                        </w:rPr>
                        <w:drawing>
                          <wp:inline distT="0" distB="0" distL="0" distR="0">
                            <wp:extent cx="454025" cy="366395"/>
                            <wp:effectExtent l="0" t="0" r="0" b="0"/>
                            <wp:docPr id="16" name="Image 19" descr="UM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9" descr="UMRAE"/>
                                    <pic:cNvPicPr>
                                      <a:picLocks noChangeAspect="1" noChangeArrowheads="1"/>
                                    </pic:cNvPicPr>
                                  </pic:nvPicPr>
                                  <pic:blipFill>
                                    <a:blip r:embed="rId9"/>
                                    <a:stretch>
                                      <a:fillRect/>
                                    </a:stretch>
                                  </pic:blipFill>
                                  <pic:spPr bwMode="auto">
                                    <a:xfrm>
                                      <a:off x="0" y="0"/>
                                      <a:ext cx="454025" cy="366395"/>
                                    </a:xfrm>
                                    <a:prstGeom prst="rect">
                                      <a:avLst/>
                                    </a:prstGeom>
                                  </pic:spPr>
                                </pic:pic>
                              </a:graphicData>
                            </a:graphic>
                          </wp:inline>
                        </w:drawing>
                      </w:r>
                    </w:p>
                    <w:p>
                      <w:pPr>
                        <w:pStyle w:val="Contenudecadre"/>
                        <w:ind w:right="-75" w:hanging="0"/>
                        <w:jc w:val="center"/>
                        <w:rPr>
                          <w:rFonts w:ascii="Arial" w:hAnsi="Arial" w:cs="Arial"/>
                          <w:sz w:val="18"/>
                          <w:szCs w:val="18"/>
                        </w:rPr>
                      </w:pPr>
                      <w:r>
                        <w:rPr>
                          <w:color w:val="FFFFFF"/>
                        </w:rPr>
                      </w:r>
                    </w:p>
                  </w:txbxContent>
                </v:textbox>
                <w10:wrap type="none"/>
              </v:rect>
            </w:pict>
          </mc:Fallback>
        </mc:AlternateContent>
        <mc:AlternateContent>
          <mc:Choice Requires="wps">
            <w:drawing>
              <wp:anchor behindDoc="0" distT="6350" distB="6350" distL="6350" distR="6350" simplePos="0" locked="0" layoutInCell="0" allowOverlap="1" relativeHeight="37" wp14:anchorId="08170B81">
                <wp:simplePos x="0" y="0"/>
                <wp:positionH relativeFrom="column">
                  <wp:posOffset>3860165</wp:posOffset>
                </wp:positionH>
                <wp:positionV relativeFrom="paragraph">
                  <wp:posOffset>175895</wp:posOffset>
                </wp:positionV>
                <wp:extent cx="1895475" cy="471170"/>
                <wp:effectExtent l="0" t="0" r="0" b="0"/>
                <wp:wrapNone/>
                <wp:docPr id="17" name="Rectangle 34"/>
                <a:graphic xmlns:a="http://schemas.openxmlformats.org/drawingml/2006/main">
                  <a:graphicData uri="http://schemas.microsoft.com/office/word/2010/wordprocessingShape">
                    <wps:wsp>
                      <wps:cNvSpPr/>
                      <wps:spPr>
                        <a:xfrm>
                          <a:off x="0" y="0"/>
                          <a:ext cx="1894680" cy="470520"/>
                        </a:xfrm>
                        <a:prstGeom prst="rect">
                          <a:avLst/>
                        </a:prstGeom>
                        <a:noFill/>
                        <a:ln>
                          <a:noFill/>
                        </a:ln>
                      </wps:spPr>
                      <wps:style>
                        <a:lnRef idx="2">
                          <a:schemeClr val="accent1">
                            <a:shade val="50000"/>
                          </a:schemeClr>
                        </a:lnRef>
                        <a:fillRef idx="1">
                          <a:schemeClr val="accent1"/>
                        </a:fillRef>
                        <a:effectRef idx="0">
                          <a:schemeClr val="accent1"/>
                        </a:effectRef>
                        <a:fontRef idx="minor"/>
                      </wps:style>
                      <wps:txbx>
                        <w:txbxContent>
                          <w:p>
                            <w:pPr>
                              <w:pStyle w:val="Contenudecadre"/>
                              <w:rPr>
                                <w:color w:val="FFFFFF"/>
                              </w:rPr>
                            </w:pPr>
                            <w:r>
                              <w:rPr>
                                <w:color w:val="FFFFFF"/>
                              </w:rPr>
                              <w:drawing>
                                <wp:inline distT="0" distB="0" distL="0" distR="0">
                                  <wp:extent cx="1605915" cy="330200"/>
                                  <wp:effectExtent l="0" t="0" r="0" b="0"/>
                                  <wp:docPr id="19" name="Image 35" descr="Fichier:Logo Université Gustave Eiffel 2020.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35" descr="Fichier:Logo Université Gustave Eiffel 2020.svg — Wikipédia"/>
                                          <pic:cNvPicPr>
                                            <a:picLocks noChangeAspect="1" noChangeArrowheads="1"/>
                                          </pic:cNvPicPr>
                                        </pic:nvPicPr>
                                        <pic:blipFill>
                                          <a:blip r:embed="rId10"/>
                                          <a:stretch>
                                            <a:fillRect/>
                                          </a:stretch>
                                        </pic:blipFill>
                                        <pic:spPr bwMode="auto">
                                          <a:xfrm>
                                            <a:off x="0" y="0"/>
                                            <a:ext cx="1605915" cy="330200"/>
                                          </a:xfrm>
                                          <a:prstGeom prst="rect">
                                            <a:avLst/>
                                          </a:prstGeom>
                                        </pic:spPr>
                                      </pic:pic>
                                    </a:graphicData>
                                  </a:graphic>
                                </wp:inline>
                              </w:drawing>
                            </w:r>
                          </w:p>
                          <w:p>
                            <w:pPr>
                              <w:pStyle w:val="Contenudecadre"/>
                              <w:jc w:val="center"/>
                              <w:rPr>
                                <w:rFonts w:ascii="Arial" w:hAnsi="Arial" w:cs="Arial"/>
                                <w:sz w:val="18"/>
                                <w:szCs w:val="18"/>
                              </w:rPr>
                            </w:pPr>
                            <w:r>
                              <w:rPr>
                                <w:color w:val="FFFFFF"/>
                              </w:rPr>
                            </w:r>
                          </w:p>
                        </w:txbxContent>
                      </wps:txbx>
                      <wps:bodyPr anchor="ctr">
                        <a:prstTxWarp prst="textNoShape"/>
                        <a:noAutofit/>
                      </wps:bodyPr>
                    </wps:wsp>
                  </a:graphicData>
                </a:graphic>
              </wp:anchor>
            </w:drawing>
          </mc:Choice>
          <mc:Fallback>
            <w:pict>
              <v:rect id="shape_0" ID="Rectangle 34" path="m0,0l-2147483645,0l-2147483645,-2147483646l0,-2147483646xe" stroked="f" style="position:absolute;margin-left:303.95pt;margin-top:13.85pt;width:149.15pt;height:37pt;mso-wrap-style:square;v-text-anchor:middle" wp14:anchorId="08170B81">
                <v:fill o:detectmouseclick="t" on="false"/>
                <v:stroke color="#3465a4" weight="12600" joinstyle="miter" endcap="flat"/>
                <v:textbox>
                  <w:txbxContent>
                    <w:p>
                      <w:pPr>
                        <w:pStyle w:val="Contenudecadre"/>
                        <w:rPr>
                          <w:color w:val="FFFFFF"/>
                        </w:rPr>
                      </w:pPr>
                      <w:r>
                        <w:rPr>
                          <w:color w:val="FFFFFF"/>
                        </w:rPr>
                        <w:drawing>
                          <wp:inline distT="0" distB="0" distL="0" distR="0">
                            <wp:extent cx="1605915" cy="330200"/>
                            <wp:effectExtent l="0" t="0" r="0" b="0"/>
                            <wp:docPr id="20" name="Image 35" descr="Fichier:Logo Université Gustave Eiffel 2020.svg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35" descr="Fichier:Logo Université Gustave Eiffel 2020.svg — Wikipédia"/>
                                    <pic:cNvPicPr>
                                      <a:picLocks noChangeAspect="1" noChangeArrowheads="1"/>
                                    </pic:cNvPicPr>
                                  </pic:nvPicPr>
                                  <pic:blipFill>
                                    <a:blip r:embed="rId10"/>
                                    <a:stretch>
                                      <a:fillRect/>
                                    </a:stretch>
                                  </pic:blipFill>
                                  <pic:spPr bwMode="auto">
                                    <a:xfrm>
                                      <a:off x="0" y="0"/>
                                      <a:ext cx="1605915" cy="330200"/>
                                    </a:xfrm>
                                    <a:prstGeom prst="rect">
                                      <a:avLst/>
                                    </a:prstGeom>
                                  </pic:spPr>
                                </pic:pic>
                              </a:graphicData>
                            </a:graphic>
                          </wp:inline>
                        </w:drawing>
                      </w:r>
                    </w:p>
                    <w:p>
                      <w:pPr>
                        <w:pStyle w:val="Contenudecadre"/>
                        <w:jc w:val="center"/>
                        <w:rPr>
                          <w:rFonts w:ascii="Arial" w:hAnsi="Arial" w:cs="Arial"/>
                          <w:sz w:val="18"/>
                          <w:szCs w:val="18"/>
                        </w:rPr>
                      </w:pPr>
                      <w:r>
                        <w:rPr>
                          <w:color w:val="FFFFFF"/>
                        </w:rPr>
                      </w:r>
                    </w:p>
                  </w:txbxContent>
                </v:textbox>
                <w10:wrap type="none"/>
              </v:rect>
            </w:pict>
          </mc:Fallback>
        </mc:AlternateContent>
      </w:r>
    </w:p>
    <w:p>
      <w:pPr>
        <w:pStyle w:val="Normal"/>
        <w:ind w:right="-2" w:hanging="0"/>
        <w:rPr>
          <w:rFonts w:ascii="Arial" w:hAnsi="Arial" w:cs="Arial"/>
          <w:color w:val="484D7A"/>
        </w:rPr>
      </w:pPr>
      <w:r>
        <w:rPr>
          <w:rFonts w:cs="Arial" w:ascii="Arial" w:hAnsi="Arial"/>
          <w:color w:val="484D7A"/>
        </w:rPr>
        <w:t>Rapport d’étude du Cerema</w:t>
      </w:r>
    </w:p>
    <w:p>
      <w:pPr>
        <w:pStyle w:val="Normal"/>
        <w:ind w:right="-2" w:hanging="0"/>
        <w:rPr>
          <w:rFonts w:ascii="Arial" w:hAnsi="Arial" w:cs="Arial"/>
          <w:color w:val="484D7A"/>
        </w:rPr>
      </w:pPr>
      <w:r>
        <w:rPr>
          <w:rFonts w:cs="Arial" w:ascii="Arial" w:hAnsi="Arial"/>
          <w:color w:val="484D7A"/>
        </w:rPr>
      </w:r>
    </w:p>
    <w:p>
      <w:pPr>
        <w:pStyle w:val="Normal"/>
        <w:ind w:right="-2" w:hanging="0"/>
        <w:rPr>
          <w:rFonts w:ascii="Arial" w:hAnsi="Arial" w:cs="Arial"/>
          <w:b/>
          <w:b/>
          <w:bCs/>
          <w:color w:val="484D7A"/>
          <w:sz w:val="52"/>
          <w:szCs w:val="52"/>
        </w:rPr>
      </w:pPr>
      <w:r>
        <w:rPr>
          <w:rFonts w:cs="Arial" w:ascii="Arial" w:hAnsi="Arial"/>
          <w:b/>
          <w:bCs/>
          <w:color w:val="484D7A"/>
          <w:sz w:val="52"/>
          <w:szCs w:val="52"/>
        </w:rPr>
        <w:t>Résumé non technique</w:t>
      </w:r>
    </w:p>
    <w:p>
      <w:pPr>
        <w:pStyle w:val="Normal"/>
        <w:ind w:right="-2" w:hanging="0"/>
        <w:rPr>
          <w:rFonts w:ascii="Arial" w:hAnsi="Arial" w:cs="Arial"/>
          <w:color w:val="484D7A"/>
        </w:rPr>
      </w:pPr>
      <w:r>
        <w:rPr>
          <w:rFonts w:cs="Arial" w:ascii="Arial" w:hAnsi="Arial"/>
          <w:color w:val="484D7A"/>
        </w:rPr>
      </w:r>
    </w:p>
    <w:p>
      <w:pPr>
        <w:pStyle w:val="Normal"/>
        <w:ind w:right="-2" w:hanging="0"/>
        <w:jc w:val="both"/>
        <w:rPr>
          <w:rFonts w:ascii="Arial" w:hAnsi="Arial" w:cs="Arial"/>
          <w:color w:val="484D7A"/>
          <w:sz w:val="32"/>
          <w:szCs w:val="32"/>
        </w:rPr>
      </w:pPr>
      <w:r>
        <w:rPr>
          <w:rFonts w:cs="Arial" w:ascii="Arial" w:hAnsi="Arial"/>
          <w:color w:val="484D7A"/>
          <w:sz w:val="36"/>
          <w:szCs w:val="36"/>
        </w:rPr>
        <w:t>Cartes de Bruit Stratégiques du département 088 pour les réseaux routier et ferroviaire non concédés</w:t>
      </w:r>
    </w:p>
    <w:p>
      <w:pPr>
        <w:pStyle w:val="Normal"/>
        <w:ind w:right="-2" w:hanging="0"/>
        <w:jc w:val="center"/>
        <w:rPr>
          <w:rFonts w:ascii="Arial" w:hAnsi="Arial" w:cs="Arial"/>
          <w:b/>
          <w:b/>
          <w:bCs/>
          <w:color w:val="484D7A"/>
          <w:sz w:val="36"/>
          <w:szCs w:val="36"/>
        </w:rPr>
      </w:pPr>
      <w:r>
        <w:rPr>
          <w:rFonts w:cs="Arial" w:ascii="Arial" w:hAnsi="Arial"/>
          <w:b/>
          <w:bCs/>
          <w:color w:val="484D7A"/>
          <w:sz w:val="36"/>
          <w:szCs w:val="36"/>
        </w:rPr>
      </w:r>
    </w:p>
    <w:p>
      <w:pPr>
        <w:pStyle w:val="Normal"/>
        <w:ind w:right="-2" w:hanging="0"/>
        <w:rPr>
          <w:rFonts w:ascii="Arial" w:hAnsi="Arial" w:cs="Arial"/>
          <w:color w:val="484D7A"/>
          <w:sz w:val="18"/>
          <w:szCs w:val="18"/>
        </w:rPr>
      </w:pPr>
      <w:r>
        <w:rPr>
          <w:rFonts w:cs="Arial" w:ascii="Arial" w:hAnsi="Arial"/>
          <w:color w:val="484D7A"/>
          <w:sz w:val="18"/>
          <w:szCs w:val="18"/>
        </w:rPr>
      </w:r>
    </w:p>
    <w:p>
      <w:pPr>
        <w:pStyle w:val="Normal"/>
        <w:ind w:right="-2" w:hanging="0"/>
        <w:rPr>
          <w:rFonts w:ascii="Arial" w:hAnsi="Arial" w:cs="Arial"/>
          <w:b/>
          <w:b/>
          <w:bCs/>
          <w:color w:val="484D7A"/>
          <w:sz w:val="21"/>
          <w:szCs w:val="21"/>
        </w:rPr>
      </w:pPr>
      <w:r>
        <w:rPr>
          <w:rFonts w:cs="Arial" w:ascii="Arial" w:hAnsi="Arial"/>
          <w:b/>
          <w:bCs/>
          <w:color w:val="484D7A"/>
          <w:sz w:val="21"/>
          <w:szCs w:val="21"/>
        </w:rPr>
        <w:t>Historique des versions du document</w:t>
      </w:r>
    </w:p>
    <w:tbl>
      <w:tblPr>
        <w:tblStyle w:val="Grilledutableau"/>
        <w:tblW w:w="1005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262"/>
        <w:gridCol w:w="1843"/>
        <w:gridCol w:w="5948"/>
      </w:tblGrid>
      <w:tr>
        <w:trPr>
          <w:trHeight w:val="427" w:hRule="atLeast"/>
        </w:trPr>
        <w:tc>
          <w:tcPr>
            <w:tcW w:w="2262" w:type="dxa"/>
            <w:tcBorders/>
            <w:shd w:color="auto" w:fill="9391B4" w:val="clear"/>
            <w:vAlign w:val="center"/>
          </w:tcPr>
          <w:p>
            <w:pPr>
              <w:pStyle w:val="Normal"/>
              <w:widowControl/>
              <w:spacing w:before="0" w:after="0"/>
              <w:ind w:right="-2" w:hanging="0"/>
              <w:jc w:val="left"/>
              <w:rPr>
                <w:rFonts w:ascii="Arial" w:hAnsi="Arial" w:cs="Arial"/>
                <w:b/>
                <w:b/>
                <w:bCs/>
                <w:color w:val="FFFFFF" w:themeColor="background1"/>
                <w:sz w:val="20"/>
                <w:szCs w:val="20"/>
              </w:rPr>
            </w:pPr>
            <w:r>
              <w:rPr>
                <w:rFonts w:cs="Arial" w:ascii="Arial" w:hAnsi="Arial"/>
                <w:b/>
                <w:bCs/>
                <w:color w:val="FFFFFF" w:themeColor="background1"/>
                <w:kern w:val="0"/>
                <w:sz w:val="20"/>
                <w:szCs w:val="20"/>
                <w:lang w:val="fr-FR" w:bidi="ar-SA"/>
              </w:rPr>
              <w:t>Version</w:t>
            </w:r>
          </w:p>
        </w:tc>
        <w:tc>
          <w:tcPr>
            <w:tcW w:w="1843" w:type="dxa"/>
            <w:tcBorders/>
            <w:shd w:color="auto" w:fill="9391B4" w:val="clear"/>
            <w:vAlign w:val="center"/>
          </w:tcPr>
          <w:p>
            <w:pPr>
              <w:pStyle w:val="Normal"/>
              <w:widowControl/>
              <w:spacing w:before="0" w:after="0"/>
              <w:ind w:right="-2" w:hanging="0"/>
              <w:jc w:val="left"/>
              <w:rPr>
                <w:rFonts w:ascii="Arial" w:hAnsi="Arial" w:cs="Arial"/>
                <w:b/>
                <w:b/>
                <w:bCs/>
                <w:color w:val="FFFFFF" w:themeColor="background1"/>
                <w:sz w:val="20"/>
                <w:szCs w:val="20"/>
              </w:rPr>
            </w:pPr>
            <w:r>
              <w:rPr>
                <w:rFonts w:cs="Arial" w:ascii="Arial" w:hAnsi="Arial"/>
                <w:b/>
                <w:bCs/>
                <w:color w:val="FFFFFF" w:themeColor="background1"/>
                <w:kern w:val="0"/>
                <w:sz w:val="20"/>
                <w:szCs w:val="20"/>
                <w:lang w:val="fr-FR" w:bidi="ar-SA"/>
              </w:rPr>
              <w:t>Date</w:t>
            </w:r>
          </w:p>
        </w:tc>
        <w:tc>
          <w:tcPr>
            <w:tcW w:w="5948" w:type="dxa"/>
            <w:tcBorders/>
            <w:shd w:color="auto" w:fill="9391B4" w:val="clear"/>
            <w:vAlign w:val="center"/>
          </w:tcPr>
          <w:p>
            <w:pPr>
              <w:pStyle w:val="Normal"/>
              <w:widowControl/>
              <w:spacing w:before="0" w:after="0"/>
              <w:ind w:right="-2" w:hanging="0"/>
              <w:jc w:val="left"/>
              <w:rPr>
                <w:rFonts w:ascii="Arial" w:hAnsi="Arial" w:cs="Arial"/>
                <w:b/>
                <w:b/>
                <w:bCs/>
                <w:color w:val="FFFFFF" w:themeColor="background1"/>
                <w:sz w:val="20"/>
                <w:szCs w:val="20"/>
              </w:rPr>
            </w:pPr>
            <w:r>
              <w:rPr>
                <w:rFonts w:cs="Arial" w:ascii="Arial" w:hAnsi="Arial"/>
                <w:b/>
                <w:bCs/>
                <w:color w:val="FFFFFF" w:themeColor="background1"/>
                <w:kern w:val="0"/>
                <w:sz w:val="20"/>
                <w:szCs w:val="20"/>
                <w:lang w:val="fr-FR" w:bidi="ar-SA"/>
              </w:rPr>
              <w:t>Commentaire</w:t>
            </w:r>
          </w:p>
        </w:tc>
      </w:tr>
      <w:tr>
        <w:trPr>
          <w:trHeight w:val="420" w:hRule="atLeast"/>
        </w:trPr>
        <w:tc>
          <w:tcPr>
            <w:tcW w:w="2262" w:type="dxa"/>
            <w:tcBorders/>
            <w:vAlign w:val="center"/>
          </w:tcPr>
          <w:p>
            <w:pPr>
              <w:pStyle w:val="Normal"/>
              <w:widowControl/>
              <w:spacing w:before="0" w:after="0"/>
              <w:ind w:right="-2" w:hanging="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843" w:type="dxa"/>
            <w:tcBorders/>
            <w:vAlign w:val="center"/>
          </w:tcPr>
          <w:p>
            <w:pPr>
              <w:pStyle w:val="Normal"/>
              <w:widowControl/>
              <w:spacing w:before="0" w:after="0"/>
              <w:ind w:right="-2" w:hanging="0"/>
              <w:jc w:val="center"/>
              <w:rPr>
                <w:rFonts w:ascii="Arial" w:hAnsi="Arial" w:cs="Arial"/>
                <w:color w:val="484D7A"/>
                <w:sz w:val="20"/>
                <w:szCs w:val="20"/>
              </w:rPr>
            </w:pPr>
            <w:r>
              <w:rPr>
                <w:rFonts w:cs="Arial" w:ascii="Arial" w:hAnsi="Arial"/>
                <w:color w:val="484D7A"/>
                <w:kern w:val="0"/>
                <w:sz w:val="20"/>
                <w:szCs w:val="20"/>
                <w:lang w:val="fr-FR" w:bidi="ar-SA"/>
              </w:rPr>
              <w:t>22/02/2022</w:t>
            </w:r>
          </w:p>
        </w:tc>
        <w:tc>
          <w:tcPr>
            <w:tcW w:w="5948" w:type="dxa"/>
            <w:tcBorders/>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484D7A"/>
                <w:kern w:val="0"/>
                <w:sz w:val="24"/>
                <w:szCs w:val="24"/>
                <w:lang w:val="fr-FR" w:bidi="ar-SA"/>
              </w:rPr>
            </w:r>
          </w:p>
        </w:tc>
      </w:tr>
      <w:tr>
        <w:trPr>
          <w:trHeight w:val="412" w:hRule="atLeast"/>
        </w:trPr>
        <w:tc>
          <w:tcPr>
            <w:tcW w:w="2262" w:type="dxa"/>
            <w:tcBorders/>
            <w:vAlign w:val="center"/>
          </w:tcPr>
          <w:p>
            <w:pPr>
              <w:pStyle w:val="Normal"/>
              <w:widowControl/>
              <w:spacing w:before="0" w:after="0"/>
              <w:ind w:right="-2" w:hanging="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1843" w:type="dxa"/>
            <w:tcBorders/>
            <w:vAlign w:val="center"/>
          </w:tcPr>
          <w:p>
            <w:pPr>
              <w:pStyle w:val="Normal"/>
              <w:widowControl/>
              <w:spacing w:before="0" w:after="0"/>
              <w:ind w:right="-2" w:hanging="0"/>
              <w:jc w:val="center"/>
              <w:rPr>
                <w:rFonts w:ascii="Arial" w:hAnsi="Arial" w:cs="Arial"/>
                <w:color w:val="484D7A"/>
                <w:sz w:val="20"/>
                <w:szCs w:val="20"/>
              </w:rPr>
            </w:pPr>
            <w:r>
              <w:rPr>
                <w:rFonts w:cs="Arial" w:ascii="Arial" w:hAnsi="Arial"/>
                <w:color w:val="484D7A"/>
                <w:kern w:val="0"/>
                <w:sz w:val="20"/>
                <w:szCs w:val="20"/>
                <w:lang w:val="fr-FR" w:bidi="ar-SA"/>
              </w:rPr>
              <w:t>31/03/2022</w:t>
            </w:r>
          </w:p>
        </w:tc>
        <w:tc>
          <w:tcPr>
            <w:tcW w:w="5948" w:type="dxa"/>
            <w:tcBorders/>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484D7A"/>
                <w:kern w:val="0"/>
                <w:sz w:val="24"/>
                <w:szCs w:val="24"/>
                <w:lang w:val="fr-FR" w:bidi="ar-SA"/>
              </w:rPr>
            </w:r>
          </w:p>
        </w:tc>
      </w:tr>
    </w:tbl>
    <w:p>
      <w:pPr>
        <w:pStyle w:val="Normal"/>
        <w:ind w:right="-2" w:hanging="0"/>
        <w:rPr>
          <w:rFonts w:ascii="Arial" w:hAnsi="Arial" w:cs="Arial"/>
          <w:color w:val="484D7A"/>
          <w:sz w:val="18"/>
          <w:szCs w:val="18"/>
        </w:rPr>
      </w:pPr>
      <w:r>
        <w:rPr>
          <w:rFonts w:cs="Arial" w:ascii="Arial" w:hAnsi="Arial"/>
          <w:color w:val="484D7A"/>
          <w:sz w:val="18"/>
          <w:szCs w:val="18"/>
        </w:rPr>
      </w:r>
    </w:p>
    <w:p>
      <w:pPr>
        <w:pStyle w:val="Normal"/>
        <w:ind w:right="-2" w:hanging="0"/>
        <w:rPr>
          <w:rFonts w:ascii="Arial" w:hAnsi="Arial" w:cs="Arial"/>
          <w:color w:val="484D7A"/>
          <w:sz w:val="20"/>
          <w:szCs w:val="20"/>
        </w:rPr>
      </w:pPr>
      <w:r>
        <w:rPr>
          <w:rFonts w:cs="Arial" w:ascii="Arial" w:hAnsi="Arial"/>
          <w:color w:val="484D7A"/>
          <w:sz w:val="20"/>
          <w:szCs w:val="20"/>
        </w:rPr>
      </w:r>
    </w:p>
    <w:p>
      <w:pPr>
        <w:pStyle w:val="Normal"/>
        <w:ind w:right="-2" w:hanging="0"/>
        <w:rPr>
          <w:rFonts w:ascii="Arial" w:hAnsi="Arial" w:cs="Arial"/>
          <w:b/>
          <w:b/>
          <w:bCs/>
          <w:color w:val="484D7A"/>
          <w:sz w:val="21"/>
          <w:szCs w:val="21"/>
        </w:rPr>
      </w:pPr>
      <w:r>
        <w:rPr>
          <w:rFonts w:cs="Arial" w:ascii="Arial" w:hAnsi="Arial"/>
          <w:b/>
          <w:bCs/>
          <w:color w:val="484D7A"/>
          <w:sz w:val="21"/>
          <w:szCs w:val="21"/>
        </w:rPr>
        <w:t>Affaire suivie par</w:t>
      </w:r>
    </w:p>
    <w:tbl>
      <w:tblPr>
        <w:tblStyle w:val="Grilledutableau"/>
        <w:tblW w:w="10060"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0060"/>
      </w:tblGrid>
      <w:tr>
        <w:trPr>
          <w:trHeight w:val="427" w:hRule="atLeast"/>
        </w:trPr>
        <w:tc>
          <w:tcPr>
            <w:tcW w:w="10060" w:type="dxa"/>
            <w:tcBorders/>
            <w:shd w:color="auto" w:fill="9391B4" w:val="clear"/>
            <w:vAlign w:val="center"/>
          </w:tcPr>
          <w:p>
            <w:pPr>
              <w:pStyle w:val="Normal"/>
              <w:widowControl/>
              <w:spacing w:before="0" w:after="0"/>
              <w:ind w:right="-2" w:hanging="0"/>
              <w:jc w:val="left"/>
              <w:rPr>
                <w:rFonts w:ascii="Arial" w:hAnsi="Arial" w:cs="Arial"/>
                <w:b/>
                <w:b/>
                <w:bCs/>
                <w:color w:val="484D7A"/>
                <w:sz w:val="20"/>
                <w:szCs w:val="20"/>
              </w:rPr>
            </w:pPr>
            <w:r>
              <w:rPr>
                <w:rFonts w:cs="Arial" w:ascii="Arial" w:hAnsi="Arial"/>
                <w:b/>
                <w:bCs/>
                <w:color w:val="FFFFFF" w:themeColor="background1"/>
                <w:kern w:val="0"/>
                <w:sz w:val="20"/>
                <w:szCs w:val="20"/>
                <w:lang w:val="fr-FR" w:bidi="ar-SA"/>
              </w:rPr>
              <w:t>Équipe PlaMADE – Cerema</w:t>
            </w:r>
          </w:p>
        </w:tc>
      </w:tr>
      <w:tr>
        <w:trPr>
          <w:trHeight w:val="412" w:hRule="atLeast"/>
        </w:trPr>
        <w:tc>
          <w:tcPr>
            <w:tcW w:w="10060" w:type="dxa"/>
            <w:tcBorders/>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484D7A"/>
                <w:kern w:val="0"/>
                <w:sz w:val="20"/>
                <w:szCs w:val="20"/>
                <w:lang w:val="fr-FR" w:bidi="ar-SA"/>
              </w:rPr>
              <w:t xml:space="preserve">Courrier : </w:t>
            </w:r>
            <w:r>
              <w:rPr>
                <w:rFonts w:cs="Arial" w:ascii="Arial" w:hAnsi="Arial"/>
                <w:b/>
                <w:color w:val="484D7A"/>
                <w:kern w:val="0"/>
                <w:sz w:val="20"/>
                <w:szCs w:val="20"/>
                <w:lang w:val="fr-FR" w:bidi="ar-SA"/>
              </w:rPr>
              <w:t>outil.bruit@cerema.fr</w:t>
            </w:r>
          </w:p>
        </w:tc>
      </w:tr>
      <w:tr>
        <w:trPr>
          <w:trHeight w:val="413" w:hRule="atLeast"/>
        </w:trPr>
        <w:tc>
          <w:tcPr>
            <w:tcW w:w="10060" w:type="dxa"/>
            <w:tcBorders/>
            <w:shd w:color="auto" w:fill="9391B4" w:val="clear"/>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FFFFFF" w:themeColor="background1"/>
                <w:kern w:val="0"/>
                <w:sz w:val="20"/>
                <w:szCs w:val="20"/>
                <w:lang w:val="fr-FR" w:bidi="ar-SA"/>
              </w:rPr>
              <w:t>Site de Sourdun – 110 rue de Paris 77171 Sourdun</w:t>
            </w:r>
          </w:p>
        </w:tc>
      </w:tr>
    </w:tbl>
    <w:p>
      <w:pPr>
        <w:pStyle w:val="Normal"/>
        <w:ind w:right="-2" w:hanging="0"/>
        <w:rPr>
          <w:rFonts w:ascii="Arial" w:hAnsi="Arial" w:cs="Arial"/>
          <w:color w:val="484D7A"/>
          <w:sz w:val="20"/>
          <w:szCs w:val="20"/>
        </w:rPr>
      </w:pPr>
      <w:r>
        <w:rPr>
          <w:rFonts w:cs="Arial" w:ascii="Arial" w:hAnsi="Arial"/>
          <w:color w:val="484D7A"/>
          <w:sz w:val="20"/>
          <w:szCs w:val="20"/>
        </w:rPr>
      </w:r>
    </w:p>
    <w:p>
      <w:pPr>
        <w:pStyle w:val="Normal"/>
        <w:ind w:right="-2" w:hanging="0"/>
        <w:rPr>
          <w:rFonts w:ascii="Arial" w:hAnsi="Arial" w:cs="Arial"/>
          <w:color w:val="484D7A"/>
          <w:sz w:val="20"/>
          <w:szCs w:val="20"/>
        </w:rPr>
      </w:pPr>
      <w:r>
        <w:rPr>
          <w:rFonts w:cs="Arial" w:ascii="Arial" w:hAnsi="Arial"/>
          <w:color w:val="484D7A"/>
          <w:sz w:val="20"/>
          <w:szCs w:val="20"/>
        </w:rPr>
      </w:r>
    </w:p>
    <w:p>
      <w:pPr>
        <w:pStyle w:val="Normal"/>
        <w:ind w:right="-2" w:hanging="0"/>
        <w:rPr>
          <w:rFonts w:ascii="Arial" w:hAnsi="Arial" w:cs="Arial"/>
          <w:color w:val="484D7A"/>
          <w:sz w:val="20"/>
          <w:szCs w:val="20"/>
        </w:rPr>
      </w:pPr>
      <w:r>
        <w:rPr>
          <w:rFonts w:cs="Arial" w:ascii="Arial" w:hAnsi="Arial"/>
          <w:color w:val="484D7A"/>
          <w:sz w:val="20"/>
          <w:szCs w:val="20"/>
        </w:rPr>
      </w:r>
    </w:p>
    <w:tbl>
      <w:tblPr>
        <w:tblStyle w:val="Grilledutableau"/>
        <w:tblW w:w="1005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2689"/>
        <w:gridCol w:w="3402"/>
        <w:gridCol w:w="2126"/>
        <w:gridCol w:w="1835"/>
      </w:tblGrid>
      <w:tr>
        <w:trPr>
          <w:trHeight w:val="427" w:hRule="atLeast"/>
        </w:trPr>
        <w:tc>
          <w:tcPr>
            <w:tcW w:w="2689" w:type="dxa"/>
            <w:tcBorders/>
            <w:shd w:color="auto" w:fill="484D7A" w:val="clear"/>
            <w:vAlign w:val="center"/>
          </w:tcPr>
          <w:p>
            <w:pPr>
              <w:pStyle w:val="Normal"/>
              <w:widowControl/>
              <w:spacing w:before="0" w:after="0"/>
              <w:ind w:right="-2" w:hanging="0"/>
              <w:jc w:val="left"/>
              <w:rPr>
                <w:rFonts w:ascii="Arial" w:hAnsi="Arial" w:cs="Arial"/>
                <w:b/>
                <w:b/>
                <w:bCs/>
                <w:color w:val="FFFFFF" w:themeColor="background1"/>
                <w:sz w:val="20"/>
                <w:szCs w:val="20"/>
              </w:rPr>
            </w:pPr>
            <w:r>
              <w:rPr>
                <w:rFonts w:cs="Arial" w:ascii="Arial" w:hAnsi="Arial"/>
                <w:b/>
                <w:bCs/>
                <w:color w:val="FFFFFF" w:themeColor="background1"/>
                <w:kern w:val="0"/>
                <w:sz w:val="20"/>
                <w:szCs w:val="20"/>
                <w:lang w:val="fr-FR" w:bidi="ar-SA"/>
              </w:rPr>
              <w:t>Rapport</w:t>
            </w:r>
          </w:p>
        </w:tc>
        <w:tc>
          <w:tcPr>
            <w:tcW w:w="3402" w:type="dxa"/>
            <w:tcBorders/>
            <w:shd w:color="auto" w:fill="484D7A" w:val="clear"/>
            <w:vAlign w:val="center"/>
          </w:tcPr>
          <w:p>
            <w:pPr>
              <w:pStyle w:val="Normal"/>
              <w:widowControl/>
              <w:spacing w:before="0" w:after="0"/>
              <w:ind w:right="-2" w:hanging="0"/>
              <w:jc w:val="left"/>
              <w:rPr>
                <w:rFonts w:ascii="Arial" w:hAnsi="Arial" w:cs="Arial"/>
                <w:b/>
                <w:b/>
                <w:bCs/>
                <w:color w:val="FFFFFF" w:themeColor="background1"/>
                <w:sz w:val="20"/>
                <w:szCs w:val="20"/>
              </w:rPr>
            </w:pPr>
            <w:r>
              <w:rPr>
                <w:rFonts w:cs="Arial" w:ascii="Arial" w:hAnsi="Arial"/>
                <w:b/>
                <w:bCs/>
                <w:color w:val="FFFFFF" w:themeColor="background1"/>
                <w:kern w:val="0"/>
                <w:sz w:val="20"/>
                <w:szCs w:val="20"/>
                <w:lang w:val="fr-FR" w:bidi="ar-SA"/>
              </w:rPr>
              <w:t>Nom</w:t>
            </w:r>
          </w:p>
        </w:tc>
        <w:tc>
          <w:tcPr>
            <w:tcW w:w="2126" w:type="dxa"/>
            <w:tcBorders/>
            <w:shd w:color="auto" w:fill="484D7A" w:val="clear"/>
            <w:vAlign w:val="center"/>
          </w:tcPr>
          <w:p>
            <w:pPr>
              <w:pStyle w:val="Normal"/>
              <w:widowControl/>
              <w:spacing w:before="0" w:after="0"/>
              <w:ind w:right="-2" w:hanging="0"/>
              <w:jc w:val="left"/>
              <w:rPr>
                <w:rFonts w:ascii="Arial" w:hAnsi="Arial" w:cs="Arial"/>
                <w:b/>
                <w:b/>
                <w:bCs/>
                <w:color w:val="FFFFFF" w:themeColor="background1"/>
                <w:sz w:val="20"/>
                <w:szCs w:val="20"/>
              </w:rPr>
            </w:pPr>
            <w:r>
              <w:rPr>
                <w:rFonts w:cs="Arial" w:ascii="Arial" w:hAnsi="Arial"/>
                <w:b/>
                <w:bCs/>
                <w:color w:val="FFFFFF" w:themeColor="background1"/>
                <w:kern w:val="0"/>
                <w:sz w:val="20"/>
                <w:szCs w:val="20"/>
                <w:lang w:val="fr-FR" w:bidi="ar-SA"/>
              </w:rPr>
              <w:t>Date</w:t>
            </w:r>
          </w:p>
        </w:tc>
        <w:tc>
          <w:tcPr>
            <w:tcW w:w="1835" w:type="dxa"/>
            <w:tcBorders/>
            <w:shd w:color="auto" w:fill="484D7A" w:val="clear"/>
            <w:vAlign w:val="center"/>
          </w:tcPr>
          <w:p>
            <w:pPr>
              <w:pStyle w:val="Normal"/>
              <w:widowControl/>
              <w:spacing w:before="0" w:after="0"/>
              <w:ind w:right="-2" w:hanging="0"/>
              <w:jc w:val="left"/>
              <w:rPr>
                <w:rFonts w:ascii="Arial" w:hAnsi="Arial" w:cs="Arial"/>
                <w:b/>
                <w:b/>
                <w:bCs/>
                <w:color w:val="FFFFFF" w:themeColor="background1"/>
                <w:sz w:val="20"/>
                <w:szCs w:val="20"/>
              </w:rPr>
            </w:pPr>
            <w:r>
              <w:rPr>
                <w:rFonts w:cs="Arial" w:ascii="Arial" w:hAnsi="Arial"/>
                <w:b/>
                <w:bCs/>
                <w:color w:val="FFFFFF" w:themeColor="background1"/>
                <w:kern w:val="0"/>
                <w:sz w:val="20"/>
                <w:szCs w:val="20"/>
                <w:lang w:val="fr-FR" w:bidi="ar-SA"/>
              </w:rPr>
              <w:t>Visa</w:t>
            </w:r>
          </w:p>
        </w:tc>
      </w:tr>
      <w:tr>
        <w:trPr>
          <w:trHeight w:val="420" w:hRule="atLeast"/>
        </w:trPr>
        <w:tc>
          <w:tcPr>
            <w:tcW w:w="2689" w:type="dxa"/>
            <w:tcBorders/>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484D7A"/>
                <w:kern w:val="0"/>
                <w:sz w:val="20"/>
                <w:szCs w:val="20"/>
                <w:lang w:val="fr-FR" w:bidi="ar-SA"/>
              </w:rPr>
              <w:t>Établi par</w:t>
            </w:r>
          </w:p>
        </w:tc>
        <w:tc>
          <w:tcPr>
            <w:tcW w:w="3402" w:type="dxa"/>
            <w:tcBorders/>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484D7A"/>
                <w:kern w:val="0"/>
                <w:sz w:val="20"/>
                <w:szCs w:val="20"/>
                <w:lang w:val="fr-FR" w:bidi="ar-SA"/>
              </w:rPr>
              <w:t>Équipe PlaMADE</w:t>
            </w:r>
          </w:p>
        </w:tc>
        <w:tc>
          <w:tcPr>
            <w:tcW w:w="2126" w:type="dxa"/>
            <w:tcBorders/>
            <w:vAlign w:val="center"/>
          </w:tcPr>
          <w:p>
            <w:pPr>
              <w:pStyle w:val="Normal"/>
              <w:widowControl/>
              <w:spacing w:before="0" w:after="0"/>
              <w:ind w:right="-2" w:hanging="0"/>
              <w:jc w:val="center"/>
              <w:rPr>
                <w:rFonts w:ascii="Arial" w:hAnsi="Arial" w:cs="Arial"/>
                <w:color w:val="484D7A"/>
                <w:sz w:val="20"/>
                <w:szCs w:val="20"/>
              </w:rPr>
            </w:pPr>
            <w:r>
              <w:rPr>
                <w:rFonts w:cs="Arial" w:ascii="Arial" w:hAnsi="Arial"/>
                <w:color w:val="484D7A"/>
                <w:kern w:val="0"/>
                <w:sz w:val="24"/>
                <w:szCs w:val="24"/>
                <w:lang w:val="fr-FR" w:bidi="ar-SA"/>
              </w:rPr>
            </w:r>
          </w:p>
        </w:tc>
        <w:tc>
          <w:tcPr>
            <w:tcW w:w="1835" w:type="dxa"/>
            <w:tcBorders/>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484D7A"/>
                <w:kern w:val="0"/>
                <w:sz w:val="24"/>
                <w:szCs w:val="24"/>
                <w:lang w:val="fr-FR" w:bidi="ar-SA"/>
              </w:rPr>
            </w:r>
          </w:p>
        </w:tc>
      </w:tr>
      <w:tr>
        <w:trPr>
          <w:trHeight w:val="412" w:hRule="atLeast"/>
        </w:trPr>
        <w:tc>
          <w:tcPr>
            <w:tcW w:w="2689" w:type="dxa"/>
            <w:tcBorders/>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484D7A"/>
                <w:kern w:val="0"/>
                <w:sz w:val="20"/>
                <w:szCs w:val="20"/>
                <w:lang w:val="fr-FR" w:bidi="ar-SA"/>
              </w:rPr>
              <w:t>Avec la participation de</w:t>
            </w:r>
          </w:p>
        </w:tc>
        <w:tc>
          <w:tcPr>
            <w:tcW w:w="3402" w:type="dxa"/>
            <w:tcBorders/>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484D7A"/>
                <w:kern w:val="0"/>
                <w:sz w:val="20"/>
                <w:szCs w:val="20"/>
                <w:lang w:val="fr-FR" w:bidi="ar-SA"/>
              </w:rPr>
              <w:t>Ministère de la transition écologique (DGPR, DGITM)</w:t>
            </w:r>
          </w:p>
        </w:tc>
        <w:tc>
          <w:tcPr>
            <w:tcW w:w="2126" w:type="dxa"/>
            <w:tcBorders/>
            <w:vAlign w:val="center"/>
          </w:tcPr>
          <w:p>
            <w:pPr>
              <w:pStyle w:val="Normal"/>
              <w:widowControl/>
              <w:spacing w:before="0" w:after="0"/>
              <w:ind w:right="-2" w:hanging="0"/>
              <w:jc w:val="center"/>
              <w:rPr>
                <w:rFonts w:ascii="Arial" w:hAnsi="Arial" w:cs="Arial"/>
                <w:color w:val="484D7A"/>
                <w:sz w:val="20"/>
                <w:szCs w:val="20"/>
              </w:rPr>
            </w:pPr>
            <w:r>
              <w:rPr>
                <w:rFonts w:cs="Arial" w:ascii="Arial" w:hAnsi="Arial"/>
                <w:color w:val="484D7A"/>
                <w:kern w:val="0"/>
                <w:sz w:val="20"/>
                <w:szCs w:val="20"/>
                <w:lang w:val="fr-FR" w:bidi="ar-SA"/>
              </w:rPr>
              <w:t>16/03/2022</w:t>
            </w:r>
          </w:p>
        </w:tc>
        <w:tc>
          <w:tcPr>
            <w:tcW w:w="1835" w:type="dxa"/>
            <w:tcBorders/>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484D7A"/>
                <w:kern w:val="0"/>
                <w:sz w:val="24"/>
                <w:szCs w:val="24"/>
                <w:lang w:val="fr-FR" w:bidi="ar-SA"/>
              </w:rPr>
            </w:r>
          </w:p>
        </w:tc>
      </w:tr>
      <w:tr>
        <w:trPr>
          <w:trHeight w:val="413" w:hRule="atLeast"/>
        </w:trPr>
        <w:tc>
          <w:tcPr>
            <w:tcW w:w="2689" w:type="dxa"/>
            <w:tcBorders/>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484D7A"/>
                <w:kern w:val="0"/>
                <w:sz w:val="20"/>
                <w:szCs w:val="20"/>
                <w:lang w:val="fr-FR" w:bidi="ar-SA"/>
              </w:rPr>
              <w:t>Validé par</w:t>
            </w:r>
          </w:p>
        </w:tc>
        <w:tc>
          <w:tcPr>
            <w:tcW w:w="3402" w:type="dxa"/>
            <w:tcBorders/>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484D7A"/>
                <w:kern w:val="0"/>
                <w:sz w:val="20"/>
                <w:szCs w:val="20"/>
                <w:lang w:val="fr-FR" w:bidi="ar-SA"/>
              </w:rPr>
              <w:t>Équipe PlaMADE</w:t>
            </w:r>
          </w:p>
        </w:tc>
        <w:tc>
          <w:tcPr>
            <w:tcW w:w="2126" w:type="dxa"/>
            <w:tcBorders/>
            <w:vAlign w:val="center"/>
          </w:tcPr>
          <w:p>
            <w:pPr>
              <w:pStyle w:val="Normal"/>
              <w:widowControl/>
              <w:spacing w:before="0" w:after="0"/>
              <w:ind w:right="-2" w:hanging="0"/>
              <w:jc w:val="center"/>
              <w:rPr>
                <w:rFonts w:ascii="Arial" w:hAnsi="Arial" w:cs="Arial"/>
                <w:color w:val="484D7A"/>
                <w:sz w:val="20"/>
                <w:szCs w:val="20"/>
              </w:rPr>
            </w:pPr>
            <w:r>
              <w:rPr>
                <w:rFonts w:cs="Arial" w:ascii="Arial" w:hAnsi="Arial"/>
                <w:color w:val="484D7A"/>
                <w:kern w:val="0"/>
                <w:sz w:val="20"/>
                <w:szCs w:val="20"/>
                <w:lang w:val="fr-FR" w:bidi="ar-SA"/>
              </w:rPr>
              <w:t>02/05/2022</w:t>
            </w:r>
          </w:p>
        </w:tc>
        <w:tc>
          <w:tcPr>
            <w:tcW w:w="1835" w:type="dxa"/>
            <w:tcBorders/>
            <w:vAlign w:val="center"/>
          </w:tcPr>
          <w:p>
            <w:pPr>
              <w:pStyle w:val="Normal"/>
              <w:widowControl/>
              <w:spacing w:before="0" w:after="0"/>
              <w:ind w:right="-2" w:hanging="0"/>
              <w:jc w:val="left"/>
              <w:rPr>
                <w:rFonts w:ascii="Arial" w:hAnsi="Arial" w:cs="Arial"/>
                <w:color w:val="484D7A"/>
                <w:sz w:val="20"/>
                <w:szCs w:val="20"/>
              </w:rPr>
            </w:pPr>
            <w:r>
              <w:rPr>
                <w:rFonts w:cs="Arial" w:ascii="Arial" w:hAnsi="Arial"/>
                <w:color w:val="484D7A"/>
                <w:kern w:val="0"/>
                <w:sz w:val="24"/>
                <w:szCs w:val="24"/>
                <w:lang w:val="fr-FR" w:bidi="ar-SA"/>
              </w:rPr>
            </w:r>
          </w:p>
        </w:tc>
      </w:tr>
    </w:tbl>
    <w:p>
      <w:pPr>
        <w:pStyle w:val="Normal"/>
        <w:ind w:right="-2" w:hanging="0"/>
        <w:rPr>
          <w:rFonts w:ascii="Arial" w:hAnsi="Arial" w:cs="Arial"/>
          <w:color w:val="484D7A"/>
          <w:sz w:val="20"/>
          <w:szCs w:val="20"/>
        </w:rPr>
      </w:pPr>
      <w:r>
        <w:rPr>
          <w:rFonts w:cs="Arial" w:ascii="Arial" w:hAnsi="Arial"/>
          <w:color w:val="484D7A"/>
          <w:sz w:val="20"/>
          <w:szCs w:val="20"/>
        </w:rPr>
      </w:r>
    </w:p>
    <w:p>
      <w:pPr>
        <w:pStyle w:val="Normal"/>
        <w:ind w:right="-2" w:hanging="0"/>
        <w:rPr>
          <w:rFonts w:ascii="Arial" w:hAnsi="Arial" w:cs="Arial"/>
          <w:color w:val="484D7A"/>
          <w:sz w:val="20"/>
          <w:szCs w:val="20"/>
        </w:rPr>
      </w:pPr>
      <w:r>
        <w:rPr>
          <w:rFonts w:cs="Arial" w:ascii="Arial" w:hAnsi="Arial"/>
          <w:color w:val="484D7A"/>
          <w:sz w:val="20"/>
          <w:szCs w:val="20"/>
        </w:rPr>
        <mc:AlternateContent>
          <mc:Choice Requires="wps">
            <w:drawing>
              <wp:anchor behindDoc="0" distT="3175" distB="0" distL="3175" distR="0" simplePos="0" locked="0" layoutInCell="0" allowOverlap="1" relativeHeight="15" wp14:anchorId="2BB61157">
                <wp:simplePos x="0" y="0"/>
                <wp:positionH relativeFrom="column">
                  <wp:posOffset>-19050</wp:posOffset>
                </wp:positionH>
                <wp:positionV relativeFrom="paragraph">
                  <wp:posOffset>117475</wp:posOffset>
                </wp:positionV>
                <wp:extent cx="6360160" cy="1270"/>
                <wp:effectExtent l="0" t="0" r="16510" b="12700"/>
                <wp:wrapNone/>
                <wp:docPr id="21" name="Connecteur droit 25"/>
                <a:graphic xmlns:a="http://schemas.openxmlformats.org/drawingml/2006/main">
                  <a:graphicData uri="http://schemas.microsoft.com/office/word/2010/wordprocessingShape">
                    <wps:wsp>
                      <wps:cNvSpPr/>
                      <wps:spPr>
                        <a:xfrm>
                          <a:off x="0" y="0"/>
                          <a:ext cx="6359400" cy="0"/>
                        </a:xfrm>
                        <a:prstGeom prst="line">
                          <a:avLst/>
                        </a:prstGeom>
                        <a:ln>
                          <a:solidFill>
                            <a:srgbClr val="9391b4"/>
                          </a:solidFill>
                        </a:ln>
                      </wps:spPr>
                      <wps:style>
                        <a:lnRef idx="1">
                          <a:schemeClr val="accent1"/>
                        </a:lnRef>
                        <a:fillRef idx="0">
                          <a:schemeClr val="accent1"/>
                        </a:fillRef>
                        <a:effectRef idx="0">
                          <a:schemeClr val="accent1"/>
                        </a:effectRef>
                        <a:fontRef idx="minor"/>
                      </wps:style>
                      <wps:bodyPr/>
                    </wps:wsp>
                  </a:graphicData>
                </a:graphic>
              </wp:anchor>
            </w:drawing>
          </mc:Choice>
          <mc:Fallback>
            <w:pict>
              <v:line id="shape_0" from="-1.5pt,9.25pt" to="499.2pt,9.25pt" ID="Connecteur droit 25" stroked="t" style="position:absolute" wp14:anchorId="2BB61157">
                <v:stroke color="#9391b4" weight="6480" joinstyle="miter" endcap="flat"/>
                <v:fill o:detectmouseclick="t" on="false"/>
                <w10:wrap type="none"/>
              </v:line>
            </w:pict>
          </mc:Fallback>
        </mc:AlternateContent>
      </w:r>
    </w:p>
    <w:p>
      <w:pPr>
        <w:sectPr>
          <w:type w:val="continuous"/>
          <w:pgSz w:w="11906" w:h="16838"/>
          <w:pgMar w:left="964" w:right="871" w:header="741" w:top="964" w:footer="84" w:bottom="964" w:gutter="0"/>
          <w:formProt w:val="false"/>
          <w:textDirection w:val="lrTb"/>
          <w:docGrid w:type="default" w:linePitch="360" w:charSpace="0"/>
        </w:sectPr>
        <w:pStyle w:val="Normal"/>
        <w:rPr>
          <w:rFonts w:ascii="Arial" w:hAnsi="Arial" w:cs="Arial"/>
          <w:b/>
          <w:b/>
          <w:bCs/>
          <w:color w:val="484D7A"/>
        </w:rPr>
      </w:pPr>
      <w:r>
        <w:rPr>
          <w:rFonts w:cs="Arial" w:ascii="Arial" w:hAnsi="Arial"/>
          <w:b/>
          <w:bCs/>
          <w:color w:val="484D7A"/>
        </w:rPr>
      </w:r>
    </w:p>
    <w:p>
      <w:pPr>
        <w:pStyle w:val="Normal"/>
        <w:ind w:right="-2" w:hanging="0"/>
        <w:rPr>
          <w:rFonts w:ascii="Arial" w:hAnsi="Arial" w:cs="Arial"/>
          <w:color w:val="484D7A"/>
          <w:sz w:val="20"/>
          <w:szCs w:val="20"/>
        </w:rPr>
      </w:pPr>
      <w:r>
        <w:rPr>
          <w:rFonts w:cs="Arial" w:ascii="Arial" w:hAnsi="Arial"/>
          <w:color w:val="484D7A"/>
          <w:sz w:val="20"/>
          <w:szCs w:val="20"/>
        </w:rPr>
      </w:r>
    </w:p>
    <w:p>
      <w:pPr>
        <w:pStyle w:val="Normal"/>
        <w:ind w:right="-2" w:hanging="0"/>
        <w:rPr>
          <w:rFonts w:ascii="Arial" w:hAnsi="Arial" w:cs="Arial"/>
          <w:color w:val="484D7A"/>
          <w:sz w:val="50"/>
          <w:szCs w:val="50"/>
        </w:rPr>
      </w:pPr>
      <w:r>
        <w:rPr>
          <w:rFonts w:cs="Arial" w:ascii="Arial" w:hAnsi="Arial"/>
          <w:color w:val="484D7A"/>
          <w:sz w:val="50"/>
          <w:szCs w:val="50"/>
        </w:rPr>
      </w:r>
    </w:p>
    <w:p>
      <w:pPr>
        <w:pStyle w:val="Normal"/>
        <w:ind w:right="-2" w:hanging="0"/>
        <w:rPr>
          <w:rFonts w:ascii="Arial" w:hAnsi="Arial" w:cs="Arial"/>
          <w:color w:val="484D7A"/>
          <w:sz w:val="50"/>
          <w:szCs w:val="50"/>
        </w:rPr>
      </w:pPr>
      <w:r>
        <w:rPr>
          <w:rFonts w:cs="Arial" w:ascii="Arial" w:hAnsi="Arial"/>
          <w:color w:val="484D7A"/>
          <w:sz w:val="50"/>
          <w:szCs w:val="50"/>
        </w:rPr>
        <w:t>SOMMAIRE</w:t>
      </w:r>
    </w:p>
    <w:p>
      <w:pPr>
        <w:pStyle w:val="Normal"/>
        <w:ind w:right="-2" w:hanging="0"/>
        <w:rPr>
          <w:rFonts w:ascii="Arial" w:hAnsi="Arial" w:cs="Arial"/>
          <w:color w:val="484D7A"/>
          <w:sz w:val="50"/>
          <w:szCs w:val="50"/>
        </w:rPr>
      </w:pPr>
      <w:r>
        <w:rPr>
          <w:rFonts w:cs="Arial" w:ascii="Arial" w:hAnsi="Arial"/>
          <w:color w:val="484D7A"/>
          <w:sz w:val="50"/>
          <w:szCs w:val="50"/>
        </w:rPr>
      </w:r>
    </w:p>
    <w:p>
      <w:pPr>
        <w:pStyle w:val="Normal"/>
        <w:ind w:right="-2" w:hanging="0"/>
        <w:rPr>
          <w:rFonts w:ascii="Arial" w:hAnsi="Arial" w:cs="Arial"/>
          <w:color w:val="484D7A"/>
          <w:sz w:val="20"/>
          <w:szCs w:val="20"/>
        </w:rPr>
      </w:pPr>
      <w:r>
        <w:rPr>
          <w:rFonts w:cs="Arial" w:ascii="Arial" w:hAnsi="Arial"/>
          <w:color w:val="484D7A"/>
          <w:sz w:val="20"/>
          <w:szCs w:val="20"/>
        </w:rPr>
      </w:r>
    </w:p>
    <w:sdt>
      <w:sdtPr>
        <w:docPartObj>
          <w:docPartGallery w:val="Table of Contents"/>
          <w:docPartUnique w:val="true"/>
        </w:docPartObj>
        <w:id w:val="549206891"/>
      </w:sdtPr>
      <w:sdtContent>
        <w:p>
          <w:pPr>
            <w:pStyle w:val="Tabledesmatiresniveau1"/>
            <w:tabs>
              <w:tab w:val="clear" w:pos="708"/>
              <w:tab w:val="left" w:pos="480" w:leader="none"/>
              <w:tab w:val="right" w:pos="10053" w:leader="underscore"/>
            </w:tabs>
            <w:rPr>
              <w:rFonts w:eastAsia="" w:cs="" w:cstheme="minorBidi" w:eastAsiaTheme="minorEastAsia"/>
              <w:b w:val="false"/>
              <w:b w:val="false"/>
              <w:bCs w:val="false"/>
              <w:i w:val="false"/>
              <w:i w:val="false"/>
              <w:iCs w:val="false"/>
              <w:color w:val="484D7A"/>
            </w:rPr>
          </w:pPr>
          <w:r>
            <w:fldChar w:fldCharType="begin"/>
          </w:r>
          <w:r>
            <w:rPr>
              <w:webHidden/>
              <w:rStyle w:val="Sautdindex"/>
              <w:rFonts w:cs="Arial" w:ascii="Marianne" w:hAnsi="Marianne"/>
              <w:color w:val="484D7A"/>
            </w:rPr>
            <w:instrText> TOC \z \o "1-2" \u \h</w:instrText>
          </w:r>
          <w:r>
            <w:rPr>
              <w:webHidden/>
              <w:rStyle w:val="Sautdindex"/>
              <w:rFonts w:cs="Arial" w:ascii="Marianne" w:hAnsi="Marianne"/>
              <w:color w:val="484D7A"/>
            </w:rPr>
            <w:fldChar w:fldCharType="separate"/>
          </w:r>
          <w:hyperlink w:anchor="_Toc102381430">
            <w:r>
              <w:rPr>
                <w:webHidden/>
                <w:rStyle w:val="Sautdindex"/>
                <w:rFonts w:cs="Arial" w:ascii="Marianne" w:hAnsi="Marianne"/>
                <w:color w:val="484D7A"/>
              </w:rPr>
              <w:t>1</w:t>
            </w:r>
            <w:r>
              <w:rPr>
                <w:rStyle w:val="Sautdindex"/>
                <w:rFonts w:eastAsia="" w:cs="" w:cstheme="minorBidi" w:eastAsiaTheme="minorEastAsia"/>
                <w:b w:val="false"/>
                <w:bCs w:val="false"/>
                <w:i w:val="false"/>
                <w:iCs w:val="false"/>
                <w:color w:val="484D7A"/>
              </w:rPr>
              <w:tab/>
            </w:r>
            <w:r>
              <w:rPr>
                <w:rStyle w:val="Sautdindex"/>
                <w:rFonts w:cs="Arial" w:ascii="Arial" w:hAnsi="Arial"/>
                <w:color w:val="484D7A"/>
              </w:rPr>
              <w:t>Introduction</w:t>
            </w:r>
            <w:r>
              <w:rPr>
                <w:webHidden/>
              </w:rPr>
              <w:fldChar w:fldCharType="begin"/>
            </w:r>
            <w:r>
              <w:rPr>
                <w:webHidden/>
              </w:rPr>
              <w:instrText>PAGEREF _Toc102381430 \h</w:instrText>
            </w:r>
            <w:r>
              <w:rPr>
                <w:webHidden/>
              </w:rPr>
              <w:fldChar w:fldCharType="separate"/>
            </w:r>
            <w:r>
              <w:rPr>
                <w:rStyle w:val="Sautdindex"/>
                <w:vanish w:val="false"/>
                <w:color w:val="484D7A"/>
              </w:rPr>
              <w:tab/>
              <w:t>4</w:t>
            </w:r>
            <w:r>
              <w:rPr>
                <w:webHidden/>
              </w:rPr>
              <w:fldChar w:fldCharType="end"/>
            </w:r>
          </w:hyperlink>
        </w:p>
        <w:p>
          <w:pPr>
            <w:pStyle w:val="Tabledesmatiresniveau2"/>
            <w:tabs>
              <w:tab w:val="clear" w:pos="708"/>
              <w:tab w:val="left" w:pos="960" w:leader="none"/>
              <w:tab w:val="right" w:pos="10053" w:leader="underscore"/>
            </w:tabs>
            <w:rPr>
              <w:rFonts w:eastAsia="" w:cs="" w:cstheme="minorBidi" w:eastAsiaTheme="minorEastAsia"/>
              <w:b w:val="false"/>
              <w:b w:val="false"/>
              <w:bCs w:val="false"/>
              <w:color w:val="484D7A"/>
              <w:sz w:val="24"/>
              <w:szCs w:val="24"/>
            </w:rPr>
          </w:pPr>
          <w:hyperlink w:anchor="_Toc102381431">
            <w:r>
              <w:rPr>
                <w:webHidden/>
                <w:rStyle w:val="Sautdindex"/>
                <w:rFonts w:cs="Arial" w:ascii="Marianne Medium" w:hAnsi="Marianne Medium"/>
                <w:color w:val="484D7A"/>
              </w:rPr>
              <w:t>1.1</w:t>
            </w:r>
            <w:r>
              <w:rPr>
                <w:rStyle w:val="Sautdindex"/>
                <w:rFonts w:eastAsia="" w:cs="" w:cstheme="minorBidi" w:eastAsiaTheme="minorEastAsia"/>
                <w:b w:val="false"/>
                <w:bCs w:val="false"/>
                <w:color w:val="484D7A"/>
                <w:sz w:val="24"/>
                <w:szCs w:val="24"/>
              </w:rPr>
              <w:tab/>
            </w:r>
            <w:r>
              <w:rPr>
                <w:rStyle w:val="Sautdindex"/>
                <w:rFonts w:cs="Arial" w:ascii="Arial" w:hAnsi="Arial"/>
                <w:color w:val="484D7A"/>
              </w:rPr>
              <w:t>Contexte réglementaire</w:t>
            </w:r>
            <w:r>
              <w:rPr>
                <w:webHidden/>
              </w:rPr>
              <w:fldChar w:fldCharType="begin"/>
            </w:r>
            <w:r>
              <w:rPr>
                <w:webHidden/>
              </w:rPr>
              <w:instrText>PAGEREF _Toc102381431 \h</w:instrText>
            </w:r>
            <w:r>
              <w:rPr>
                <w:webHidden/>
              </w:rPr>
              <w:fldChar w:fldCharType="separate"/>
            </w:r>
            <w:r>
              <w:rPr>
                <w:rStyle w:val="Sautdindex"/>
                <w:vanish w:val="false"/>
                <w:color w:val="484D7A"/>
              </w:rPr>
              <w:tab/>
              <w:t>4</w:t>
            </w:r>
            <w:r>
              <w:rPr>
                <w:webHidden/>
              </w:rPr>
              <w:fldChar w:fldCharType="end"/>
            </w:r>
          </w:hyperlink>
        </w:p>
        <w:p>
          <w:pPr>
            <w:pStyle w:val="Tabledesmatiresniveau2"/>
            <w:tabs>
              <w:tab w:val="clear" w:pos="708"/>
              <w:tab w:val="left" w:pos="960" w:leader="none"/>
              <w:tab w:val="right" w:pos="10053" w:leader="underscore"/>
            </w:tabs>
            <w:rPr>
              <w:rFonts w:eastAsia="" w:cs="" w:cstheme="minorBidi" w:eastAsiaTheme="minorEastAsia"/>
              <w:b w:val="false"/>
              <w:b w:val="false"/>
              <w:bCs w:val="false"/>
              <w:color w:val="484D7A"/>
              <w:sz w:val="24"/>
              <w:szCs w:val="24"/>
            </w:rPr>
          </w:pPr>
          <w:hyperlink w:anchor="_Toc102381432">
            <w:r>
              <w:rPr>
                <w:webHidden/>
                <w:rStyle w:val="Sautdindex"/>
                <w:rFonts w:cs="Arial" w:ascii="Marianne Medium" w:hAnsi="Marianne Medium"/>
                <w:color w:val="484D7A"/>
              </w:rPr>
              <w:t>1.2</w:t>
            </w:r>
            <w:r>
              <w:rPr>
                <w:rStyle w:val="Sautdindex"/>
                <w:rFonts w:eastAsia="" w:cs="" w:cstheme="minorBidi" w:eastAsiaTheme="minorEastAsia"/>
                <w:b w:val="false"/>
                <w:bCs w:val="false"/>
                <w:color w:val="484D7A"/>
                <w:sz w:val="24"/>
                <w:szCs w:val="24"/>
              </w:rPr>
              <w:tab/>
            </w:r>
            <w:r>
              <w:rPr>
                <w:rStyle w:val="Sautdindex"/>
                <w:rFonts w:cs="Arial" w:ascii="Arial" w:hAnsi="Arial"/>
                <w:color w:val="484D7A"/>
              </w:rPr>
              <w:t>Contexte du projet</w:t>
            </w:r>
            <w:r>
              <w:rPr>
                <w:webHidden/>
              </w:rPr>
              <w:fldChar w:fldCharType="begin"/>
            </w:r>
            <w:r>
              <w:rPr>
                <w:webHidden/>
              </w:rPr>
              <w:instrText>PAGEREF _Toc102381432 \h</w:instrText>
            </w:r>
            <w:r>
              <w:rPr>
                <w:webHidden/>
              </w:rPr>
              <w:fldChar w:fldCharType="separate"/>
            </w:r>
            <w:r>
              <w:rPr>
                <w:rStyle w:val="Sautdindex"/>
                <w:vanish w:val="false"/>
                <w:color w:val="484D7A"/>
              </w:rPr>
              <w:tab/>
              <w:t>5</w:t>
            </w:r>
            <w:r>
              <w:rPr>
                <w:webHidden/>
              </w:rPr>
              <w:fldChar w:fldCharType="end"/>
            </w:r>
          </w:hyperlink>
        </w:p>
        <w:p>
          <w:pPr>
            <w:pStyle w:val="Tabledesmatiresniveau2"/>
            <w:tabs>
              <w:tab w:val="clear" w:pos="708"/>
              <w:tab w:val="left" w:pos="960" w:leader="none"/>
              <w:tab w:val="right" w:pos="10053" w:leader="underscore"/>
            </w:tabs>
            <w:rPr>
              <w:rFonts w:eastAsia="" w:cs="" w:cstheme="minorBidi" w:eastAsiaTheme="minorEastAsia"/>
              <w:b w:val="false"/>
              <w:b w:val="false"/>
              <w:bCs w:val="false"/>
              <w:color w:val="484D7A"/>
              <w:sz w:val="24"/>
              <w:szCs w:val="24"/>
            </w:rPr>
          </w:pPr>
          <w:hyperlink w:anchor="_Toc102381433">
            <w:r>
              <w:rPr>
                <w:webHidden/>
                <w:rStyle w:val="Sautdindex"/>
                <w:rFonts w:cs="Arial" w:ascii="Marianne Medium" w:hAnsi="Marianne Medium"/>
                <w:color w:val="484D7A"/>
              </w:rPr>
              <w:t>1.3</w:t>
            </w:r>
            <w:r>
              <w:rPr>
                <w:rStyle w:val="Sautdindex"/>
                <w:rFonts w:eastAsia="" w:cs="" w:cstheme="minorBidi" w:eastAsiaTheme="minorEastAsia"/>
                <w:b w:val="false"/>
                <w:bCs w:val="false"/>
                <w:color w:val="484D7A"/>
                <w:sz w:val="24"/>
                <w:szCs w:val="24"/>
              </w:rPr>
              <w:tab/>
            </w:r>
            <w:r>
              <w:rPr>
                <w:rStyle w:val="Sautdindex"/>
                <w:rFonts w:cs="Arial" w:ascii="Arial" w:hAnsi="Arial"/>
                <w:color w:val="484D7A"/>
              </w:rPr>
              <w:t>Les cartes de bruit stratégiques</w:t>
            </w:r>
            <w:r>
              <w:rPr>
                <w:webHidden/>
              </w:rPr>
              <w:fldChar w:fldCharType="begin"/>
            </w:r>
            <w:r>
              <w:rPr>
                <w:webHidden/>
              </w:rPr>
              <w:instrText>PAGEREF _Toc102381433 \h</w:instrText>
            </w:r>
            <w:r>
              <w:rPr>
                <w:webHidden/>
              </w:rPr>
              <w:fldChar w:fldCharType="separate"/>
            </w:r>
            <w:r>
              <w:rPr>
                <w:rStyle w:val="Sautdindex"/>
                <w:vanish w:val="false"/>
                <w:color w:val="484D7A"/>
              </w:rPr>
              <w:tab/>
              <w:t>5</w:t>
            </w:r>
            <w:r>
              <w:rPr>
                <w:webHidden/>
              </w:rPr>
              <w:fldChar w:fldCharType="end"/>
            </w:r>
          </w:hyperlink>
        </w:p>
        <w:p>
          <w:pPr>
            <w:pStyle w:val="Tabledesmatiresniveau2"/>
            <w:tabs>
              <w:tab w:val="clear" w:pos="708"/>
              <w:tab w:val="left" w:pos="960" w:leader="none"/>
              <w:tab w:val="right" w:pos="10053" w:leader="underscore"/>
            </w:tabs>
            <w:rPr>
              <w:rFonts w:eastAsia="" w:cs="" w:cstheme="minorBidi" w:eastAsiaTheme="minorEastAsia"/>
              <w:b w:val="false"/>
              <w:b w:val="false"/>
              <w:bCs w:val="false"/>
              <w:color w:val="484D7A"/>
              <w:sz w:val="24"/>
              <w:szCs w:val="24"/>
            </w:rPr>
          </w:pPr>
          <w:hyperlink w:anchor="_Toc102381434">
            <w:r>
              <w:rPr>
                <w:webHidden/>
                <w:rStyle w:val="Sautdindex"/>
                <w:rFonts w:cs="Arial" w:ascii="Marianne Medium" w:hAnsi="Marianne Medium"/>
                <w:color w:val="484D7A"/>
              </w:rPr>
              <w:t>1.4</w:t>
            </w:r>
            <w:r>
              <w:rPr>
                <w:rStyle w:val="Sautdindex"/>
                <w:rFonts w:eastAsia="" w:cs="" w:cstheme="minorBidi" w:eastAsiaTheme="minorEastAsia"/>
                <w:b w:val="false"/>
                <w:bCs w:val="false"/>
                <w:color w:val="484D7A"/>
                <w:sz w:val="24"/>
                <w:szCs w:val="24"/>
              </w:rPr>
              <w:tab/>
            </w:r>
            <w:r>
              <w:rPr>
                <w:rStyle w:val="Sautdindex"/>
                <w:rFonts w:cs="Arial" w:ascii="Arial" w:hAnsi="Arial"/>
                <w:color w:val="484D7A"/>
              </w:rPr>
              <w:t>Objectifs du présent document</w:t>
            </w:r>
            <w:r>
              <w:rPr>
                <w:webHidden/>
              </w:rPr>
              <w:fldChar w:fldCharType="begin"/>
            </w:r>
            <w:r>
              <w:rPr>
                <w:webHidden/>
              </w:rPr>
              <w:instrText>PAGEREF _Toc102381434 \h</w:instrText>
            </w:r>
            <w:r>
              <w:rPr>
                <w:webHidden/>
              </w:rPr>
              <w:fldChar w:fldCharType="separate"/>
            </w:r>
            <w:r>
              <w:rPr>
                <w:rStyle w:val="Sautdindex"/>
                <w:vanish w:val="false"/>
                <w:color w:val="484D7A"/>
              </w:rPr>
              <w:tab/>
              <w:t>6</w:t>
            </w:r>
            <w:r>
              <w:rPr>
                <w:webHidden/>
              </w:rPr>
              <w:fldChar w:fldCharType="end"/>
            </w:r>
          </w:hyperlink>
        </w:p>
        <w:p>
          <w:pPr>
            <w:pStyle w:val="Tabledesmatiresniveau1"/>
            <w:tabs>
              <w:tab w:val="clear" w:pos="708"/>
              <w:tab w:val="left" w:pos="480" w:leader="none"/>
              <w:tab w:val="right" w:pos="10053" w:leader="underscore"/>
            </w:tabs>
            <w:rPr>
              <w:rFonts w:eastAsia="" w:cs="" w:cstheme="minorBidi" w:eastAsiaTheme="minorEastAsia"/>
              <w:b w:val="false"/>
              <w:b w:val="false"/>
              <w:bCs w:val="false"/>
              <w:i w:val="false"/>
              <w:i w:val="false"/>
              <w:iCs w:val="false"/>
              <w:color w:val="484D7A"/>
            </w:rPr>
          </w:pPr>
          <w:hyperlink w:anchor="_Toc102381435">
            <w:r>
              <w:rPr>
                <w:webHidden/>
                <w:rStyle w:val="Sautdindex"/>
                <w:rFonts w:cs="Arial" w:ascii="Marianne" w:hAnsi="Marianne"/>
                <w:color w:val="484D7A"/>
              </w:rPr>
              <w:t>2</w:t>
            </w:r>
            <w:r>
              <w:rPr>
                <w:rStyle w:val="Sautdindex"/>
                <w:rFonts w:eastAsia="" w:cs="" w:cstheme="minorBidi" w:eastAsiaTheme="minorEastAsia"/>
                <w:b w:val="false"/>
                <w:bCs w:val="false"/>
                <w:i w:val="false"/>
                <w:iCs w:val="false"/>
                <w:color w:val="484D7A"/>
              </w:rPr>
              <w:tab/>
            </w:r>
            <w:r>
              <w:rPr>
                <w:rStyle w:val="Sautdindex"/>
                <w:rFonts w:cs="Arial" w:ascii="Arial" w:hAnsi="Arial"/>
                <w:color w:val="484D7A"/>
              </w:rPr>
              <w:t>Comprendre les cartes de bruit stratégiques</w:t>
            </w:r>
            <w:r>
              <w:rPr>
                <w:webHidden/>
              </w:rPr>
              <w:fldChar w:fldCharType="begin"/>
            </w:r>
            <w:r>
              <w:rPr>
                <w:webHidden/>
              </w:rPr>
              <w:instrText>PAGEREF _Toc102381435 \h</w:instrText>
            </w:r>
            <w:r>
              <w:rPr>
                <w:webHidden/>
              </w:rPr>
              <w:fldChar w:fldCharType="separate"/>
            </w:r>
            <w:r>
              <w:rPr>
                <w:rStyle w:val="Sautdindex"/>
                <w:vanish w:val="false"/>
                <w:color w:val="484D7A"/>
              </w:rPr>
              <w:tab/>
              <w:t>7</w:t>
            </w:r>
            <w:r>
              <w:rPr>
                <w:webHidden/>
              </w:rPr>
              <w:fldChar w:fldCharType="end"/>
            </w:r>
          </w:hyperlink>
        </w:p>
        <w:p>
          <w:pPr>
            <w:pStyle w:val="Tabledesmatiresniveau2"/>
            <w:tabs>
              <w:tab w:val="clear" w:pos="708"/>
              <w:tab w:val="left" w:pos="960" w:leader="none"/>
              <w:tab w:val="right" w:pos="10053" w:leader="underscore"/>
            </w:tabs>
            <w:rPr>
              <w:rFonts w:eastAsia="" w:cs="" w:cstheme="minorBidi" w:eastAsiaTheme="minorEastAsia"/>
              <w:b w:val="false"/>
              <w:b w:val="false"/>
              <w:bCs w:val="false"/>
              <w:color w:val="484D7A"/>
              <w:sz w:val="24"/>
              <w:szCs w:val="24"/>
            </w:rPr>
          </w:pPr>
          <w:hyperlink w:anchor="_Toc102381436">
            <w:r>
              <w:rPr>
                <w:webHidden/>
                <w:rStyle w:val="Sautdindex"/>
                <w:rFonts w:cs="Arial" w:ascii="Marianne Medium" w:hAnsi="Marianne Medium"/>
                <w:color w:val="484D7A"/>
              </w:rPr>
              <w:t>2.1</w:t>
            </w:r>
            <w:r>
              <w:rPr>
                <w:rStyle w:val="Sautdindex"/>
                <w:rFonts w:eastAsia="" w:cs="" w:cstheme="minorBidi" w:eastAsiaTheme="minorEastAsia"/>
                <w:b w:val="false"/>
                <w:bCs w:val="false"/>
                <w:color w:val="484D7A"/>
                <w:sz w:val="24"/>
                <w:szCs w:val="24"/>
              </w:rPr>
              <w:tab/>
            </w:r>
            <w:r>
              <w:rPr>
                <w:rStyle w:val="Sautdindex"/>
                <w:rFonts w:cs="Arial" w:ascii="Arial" w:hAnsi="Arial"/>
                <w:color w:val="484D7A"/>
              </w:rPr>
              <w:t>Éléments théoriques sur le bruit</w:t>
            </w:r>
            <w:r>
              <w:rPr>
                <w:webHidden/>
              </w:rPr>
              <w:fldChar w:fldCharType="begin"/>
            </w:r>
            <w:r>
              <w:rPr>
                <w:webHidden/>
              </w:rPr>
              <w:instrText>PAGEREF _Toc102381436 \h</w:instrText>
            </w:r>
            <w:r>
              <w:rPr>
                <w:webHidden/>
              </w:rPr>
              <w:fldChar w:fldCharType="separate"/>
            </w:r>
            <w:r>
              <w:rPr>
                <w:rStyle w:val="Sautdindex"/>
                <w:vanish w:val="false"/>
                <w:color w:val="484D7A"/>
              </w:rPr>
              <w:tab/>
              <w:t>7</w:t>
            </w:r>
            <w:r>
              <w:rPr>
                <w:webHidden/>
              </w:rPr>
              <w:fldChar w:fldCharType="end"/>
            </w:r>
          </w:hyperlink>
        </w:p>
        <w:p>
          <w:pPr>
            <w:pStyle w:val="Tabledesmatiresniveau2"/>
            <w:tabs>
              <w:tab w:val="clear" w:pos="708"/>
              <w:tab w:val="left" w:pos="960" w:leader="none"/>
              <w:tab w:val="right" w:pos="10053" w:leader="underscore"/>
            </w:tabs>
            <w:rPr>
              <w:rFonts w:eastAsia="" w:cs="" w:cstheme="minorBidi" w:eastAsiaTheme="minorEastAsia"/>
              <w:b w:val="false"/>
              <w:b w:val="false"/>
              <w:bCs w:val="false"/>
              <w:color w:val="484D7A"/>
              <w:sz w:val="24"/>
              <w:szCs w:val="24"/>
            </w:rPr>
          </w:pPr>
          <w:hyperlink w:anchor="_Toc102381437">
            <w:r>
              <w:rPr>
                <w:webHidden/>
                <w:rStyle w:val="Sautdindex"/>
                <w:rFonts w:cs="Arial" w:ascii="Marianne Medium" w:hAnsi="Marianne Medium"/>
                <w:color w:val="484D7A"/>
              </w:rPr>
              <w:t>2.2</w:t>
            </w:r>
            <w:r>
              <w:rPr>
                <w:rStyle w:val="Sautdindex"/>
                <w:rFonts w:eastAsia="" w:cs="" w:cstheme="minorBidi" w:eastAsiaTheme="minorEastAsia"/>
                <w:b w:val="false"/>
                <w:bCs w:val="false"/>
                <w:color w:val="484D7A"/>
                <w:sz w:val="24"/>
                <w:szCs w:val="24"/>
              </w:rPr>
              <w:tab/>
            </w:r>
            <w:r>
              <w:rPr>
                <w:rStyle w:val="Sautdindex"/>
                <w:rFonts w:cs="Arial" w:ascii="Arial" w:hAnsi="Arial"/>
                <w:color w:val="484D7A"/>
              </w:rPr>
              <w:t>Les indicateurs du bruit</w:t>
            </w:r>
            <w:r>
              <w:rPr>
                <w:webHidden/>
              </w:rPr>
              <w:fldChar w:fldCharType="begin"/>
            </w:r>
            <w:r>
              <w:rPr>
                <w:webHidden/>
              </w:rPr>
              <w:instrText>PAGEREF _Toc102381437 \h</w:instrText>
            </w:r>
            <w:r>
              <w:rPr>
                <w:webHidden/>
              </w:rPr>
              <w:fldChar w:fldCharType="separate"/>
            </w:r>
            <w:r>
              <w:rPr>
                <w:rStyle w:val="Sautdindex"/>
                <w:vanish w:val="false"/>
                <w:color w:val="484D7A"/>
              </w:rPr>
              <w:tab/>
              <w:t>8</w:t>
            </w:r>
            <w:r>
              <w:rPr>
                <w:webHidden/>
              </w:rPr>
              <w:fldChar w:fldCharType="end"/>
            </w:r>
          </w:hyperlink>
        </w:p>
        <w:p>
          <w:pPr>
            <w:pStyle w:val="Tabledesmatiresniveau2"/>
            <w:tabs>
              <w:tab w:val="clear" w:pos="708"/>
              <w:tab w:val="left" w:pos="960" w:leader="none"/>
              <w:tab w:val="right" w:pos="10053" w:leader="underscore"/>
            </w:tabs>
            <w:rPr>
              <w:rFonts w:eastAsia="" w:cs="" w:cstheme="minorBidi" w:eastAsiaTheme="minorEastAsia"/>
              <w:b w:val="false"/>
              <w:b w:val="false"/>
              <w:bCs w:val="false"/>
              <w:color w:val="484D7A"/>
              <w:sz w:val="24"/>
              <w:szCs w:val="24"/>
            </w:rPr>
          </w:pPr>
          <w:hyperlink w:anchor="_Toc102381438">
            <w:r>
              <w:rPr>
                <w:webHidden/>
                <w:rStyle w:val="Sautdindex"/>
                <w:rFonts w:cs="Arial" w:ascii="Marianne Medium" w:hAnsi="Marianne Medium"/>
                <w:color w:val="484D7A"/>
              </w:rPr>
              <w:t>2.3</w:t>
            </w:r>
            <w:r>
              <w:rPr>
                <w:rStyle w:val="Sautdindex"/>
                <w:rFonts w:eastAsia="" w:cs="" w:cstheme="minorBidi" w:eastAsiaTheme="minorEastAsia"/>
                <w:b w:val="false"/>
                <w:bCs w:val="false"/>
                <w:color w:val="484D7A"/>
                <w:sz w:val="24"/>
                <w:szCs w:val="24"/>
              </w:rPr>
              <w:tab/>
            </w:r>
            <w:r>
              <w:rPr>
                <w:rStyle w:val="Sautdindex"/>
                <w:rFonts w:cs="Arial" w:ascii="Arial" w:hAnsi="Arial"/>
                <w:color w:val="484D7A"/>
              </w:rPr>
              <w:t>Les valeurs limites (cartes de type C)</w:t>
            </w:r>
            <w:r>
              <w:rPr>
                <w:webHidden/>
              </w:rPr>
              <w:fldChar w:fldCharType="begin"/>
            </w:r>
            <w:r>
              <w:rPr>
                <w:webHidden/>
              </w:rPr>
              <w:instrText>PAGEREF _Toc102381438 \h</w:instrText>
            </w:r>
            <w:r>
              <w:rPr>
                <w:webHidden/>
              </w:rPr>
              <w:fldChar w:fldCharType="separate"/>
            </w:r>
            <w:r>
              <w:rPr>
                <w:rStyle w:val="Sautdindex"/>
                <w:vanish w:val="false"/>
                <w:color w:val="484D7A"/>
              </w:rPr>
              <w:tab/>
              <w:t>8</w:t>
            </w:r>
            <w:r>
              <w:rPr>
                <w:webHidden/>
              </w:rPr>
              <w:fldChar w:fldCharType="end"/>
            </w:r>
          </w:hyperlink>
        </w:p>
        <w:p>
          <w:pPr>
            <w:pStyle w:val="Tabledesmatiresniveau1"/>
            <w:tabs>
              <w:tab w:val="clear" w:pos="708"/>
              <w:tab w:val="left" w:pos="480" w:leader="none"/>
              <w:tab w:val="right" w:pos="10053" w:leader="underscore"/>
            </w:tabs>
            <w:rPr>
              <w:rFonts w:eastAsia="" w:cs="" w:cstheme="minorBidi" w:eastAsiaTheme="minorEastAsia"/>
              <w:b w:val="false"/>
              <w:b w:val="false"/>
              <w:bCs w:val="false"/>
              <w:i w:val="false"/>
              <w:i w:val="false"/>
              <w:iCs w:val="false"/>
              <w:color w:val="484D7A"/>
            </w:rPr>
          </w:pPr>
          <w:hyperlink w:anchor="_Toc102381439">
            <w:r>
              <w:rPr>
                <w:webHidden/>
                <w:rStyle w:val="Sautdindex"/>
                <w:rFonts w:cs="Arial" w:ascii="Marianne" w:hAnsi="Marianne"/>
                <w:color w:val="484D7A"/>
              </w:rPr>
              <w:t>3</w:t>
            </w:r>
            <w:r>
              <w:rPr>
                <w:rStyle w:val="Sautdindex"/>
                <w:rFonts w:eastAsia="" w:cs="" w:cstheme="minorBidi" w:eastAsiaTheme="minorEastAsia"/>
                <w:b w:val="false"/>
                <w:bCs w:val="false"/>
                <w:i w:val="false"/>
                <w:iCs w:val="false"/>
                <w:color w:val="484D7A"/>
              </w:rPr>
              <w:tab/>
            </w:r>
            <w:r>
              <w:rPr>
                <w:rStyle w:val="Sautdindex"/>
                <w:rFonts w:cs="Arial" w:ascii="Arial" w:hAnsi="Arial"/>
                <w:color w:val="484D7A"/>
              </w:rPr>
              <w:t>Les cartes de bruit stratégiques et données d’exposition associées</w:t>
            </w:r>
            <w:r>
              <w:rPr>
                <w:webHidden/>
              </w:rPr>
              <w:fldChar w:fldCharType="begin"/>
            </w:r>
            <w:r>
              <w:rPr>
                <w:webHidden/>
              </w:rPr>
              <w:instrText>PAGEREF _Toc102381439 \h</w:instrText>
            </w:r>
            <w:r>
              <w:rPr>
                <w:webHidden/>
              </w:rPr>
              <w:fldChar w:fldCharType="separate"/>
            </w:r>
            <w:r>
              <w:rPr>
                <w:rStyle w:val="Sautdindex"/>
                <w:vanish w:val="false"/>
                <w:color w:val="484D7A"/>
              </w:rPr>
              <w:tab/>
              <w:t>9</w:t>
            </w:r>
            <w:r>
              <w:rPr>
                <w:webHidden/>
              </w:rPr>
              <w:fldChar w:fldCharType="end"/>
            </w:r>
          </w:hyperlink>
        </w:p>
        <w:p>
          <w:pPr>
            <w:pStyle w:val="Tabledesmatiresniveau2"/>
            <w:tabs>
              <w:tab w:val="clear" w:pos="708"/>
              <w:tab w:val="left" w:pos="960" w:leader="none"/>
              <w:tab w:val="right" w:pos="10053" w:leader="underscore"/>
            </w:tabs>
            <w:rPr>
              <w:rFonts w:eastAsia="" w:cs="" w:cstheme="minorBidi" w:eastAsiaTheme="minorEastAsia"/>
              <w:b w:val="false"/>
              <w:b w:val="false"/>
              <w:bCs w:val="false"/>
              <w:color w:val="484D7A"/>
              <w:sz w:val="24"/>
              <w:szCs w:val="24"/>
            </w:rPr>
          </w:pPr>
          <w:hyperlink w:anchor="_Toc102381440">
            <w:r>
              <w:rPr>
                <w:webHidden/>
                <w:rStyle w:val="Sautdindex"/>
                <w:rFonts w:cs="Arial" w:ascii="Marianne Medium" w:hAnsi="Marianne Medium"/>
                <w:color w:val="484D7A"/>
              </w:rPr>
              <w:t>3.1</w:t>
            </w:r>
            <w:r>
              <w:rPr>
                <w:rStyle w:val="Sautdindex"/>
                <w:rFonts w:eastAsia="" w:cs="" w:cstheme="minorBidi" w:eastAsiaTheme="minorEastAsia"/>
                <w:b w:val="false"/>
                <w:bCs w:val="false"/>
                <w:color w:val="484D7A"/>
                <w:sz w:val="24"/>
                <w:szCs w:val="24"/>
              </w:rPr>
              <w:tab/>
            </w:r>
            <w:r>
              <w:rPr>
                <w:rStyle w:val="Sautdindex"/>
                <w:rFonts w:cs="Arial" w:ascii="Arial" w:hAnsi="Arial"/>
                <w:color w:val="484D7A"/>
              </w:rPr>
              <w:t>Les bases de données d’entrée</w:t>
            </w:r>
            <w:r>
              <w:rPr>
                <w:webHidden/>
              </w:rPr>
              <w:fldChar w:fldCharType="begin"/>
            </w:r>
            <w:r>
              <w:rPr>
                <w:webHidden/>
              </w:rPr>
              <w:instrText>PAGEREF _Toc102381440 \h</w:instrText>
            </w:r>
            <w:r>
              <w:rPr>
                <w:webHidden/>
              </w:rPr>
              <w:fldChar w:fldCharType="separate"/>
            </w:r>
            <w:r>
              <w:rPr>
                <w:rStyle w:val="Sautdindex"/>
                <w:vanish w:val="false"/>
                <w:color w:val="484D7A"/>
              </w:rPr>
              <w:tab/>
              <w:t>9</w:t>
            </w:r>
            <w:r>
              <w:rPr>
                <w:webHidden/>
              </w:rPr>
              <w:fldChar w:fldCharType="end"/>
            </w:r>
          </w:hyperlink>
        </w:p>
        <w:p>
          <w:pPr>
            <w:pStyle w:val="Tabledesmatiresniveau2"/>
            <w:tabs>
              <w:tab w:val="clear" w:pos="708"/>
              <w:tab w:val="left" w:pos="960" w:leader="none"/>
              <w:tab w:val="right" w:pos="10053" w:leader="underscore"/>
            </w:tabs>
            <w:rPr>
              <w:rFonts w:eastAsia="" w:cs="" w:cstheme="minorBidi" w:eastAsiaTheme="minorEastAsia"/>
              <w:b w:val="false"/>
              <w:b w:val="false"/>
              <w:bCs w:val="false"/>
              <w:color w:val="484D7A"/>
              <w:sz w:val="24"/>
              <w:szCs w:val="24"/>
            </w:rPr>
          </w:pPr>
          <w:hyperlink w:anchor="_Toc102381441">
            <w:r>
              <w:rPr>
                <w:webHidden/>
                <w:rStyle w:val="Sautdindex"/>
                <w:rFonts w:cs="Arial" w:ascii="Marianne Medium" w:hAnsi="Marianne Medium"/>
                <w:color w:val="484D7A"/>
              </w:rPr>
              <w:t>3.2</w:t>
            </w:r>
            <w:r>
              <w:rPr>
                <w:rStyle w:val="Sautdindex"/>
                <w:rFonts w:eastAsia="" w:cs="" w:cstheme="minorBidi" w:eastAsiaTheme="minorEastAsia"/>
                <w:b w:val="false"/>
                <w:bCs w:val="false"/>
                <w:color w:val="484D7A"/>
                <w:sz w:val="24"/>
                <w:szCs w:val="24"/>
              </w:rPr>
              <w:tab/>
            </w:r>
            <w:r>
              <w:rPr>
                <w:rStyle w:val="Sautdindex"/>
                <w:rFonts w:cs="Arial" w:ascii="Arial" w:hAnsi="Arial"/>
                <w:color w:val="484D7A"/>
              </w:rPr>
              <w:t>La réalisation des cartes de bruit stratégiques des grandes infrastructures de transport terrestre (GITT)</w:t>
            </w:r>
            <w:r>
              <w:rPr>
                <w:webHidden/>
              </w:rPr>
              <w:fldChar w:fldCharType="begin"/>
            </w:r>
            <w:r>
              <w:rPr>
                <w:webHidden/>
              </w:rPr>
              <w:instrText>PAGEREF _Toc102381441 \h</w:instrText>
            </w:r>
            <w:r>
              <w:rPr>
                <w:webHidden/>
              </w:rPr>
              <w:fldChar w:fldCharType="separate"/>
            </w:r>
            <w:r>
              <w:rPr>
                <w:rStyle w:val="Sautdindex"/>
                <w:vanish w:val="false"/>
                <w:color w:val="484D7A"/>
              </w:rPr>
              <w:tab/>
              <w:t>9</w:t>
            </w:r>
            <w:r>
              <w:rPr>
                <w:webHidden/>
              </w:rPr>
              <w:fldChar w:fldCharType="end"/>
            </w:r>
          </w:hyperlink>
        </w:p>
        <w:p>
          <w:pPr>
            <w:pStyle w:val="Tabledesmatiresniveau2"/>
            <w:tabs>
              <w:tab w:val="clear" w:pos="708"/>
              <w:tab w:val="left" w:pos="960" w:leader="none"/>
              <w:tab w:val="right" w:pos="10053" w:leader="underscore"/>
            </w:tabs>
            <w:rPr>
              <w:rFonts w:eastAsia="" w:cs="" w:cstheme="minorBidi" w:eastAsiaTheme="minorEastAsia"/>
              <w:b w:val="false"/>
              <w:b w:val="false"/>
              <w:bCs w:val="false"/>
              <w:color w:val="484D7A"/>
              <w:sz w:val="24"/>
              <w:szCs w:val="24"/>
            </w:rPr>
          </w:pPr>
          <w:hyperlink w:anchor="_Toc102381442">
            <w:r>
              <w:rPr>
                <w:webHidden/>
                <w:rStyle w:val="Sautdindex"/>
                <w:rFonts w:cs="Arial" w:ascii="Marianne Medium" w:hAnsi="Marianne Medium"/>
                <w:color w:val="484D7A"/>
              </w:rPr>
              <w:t>3.3</w:t>
            </w:r>
            <w:r>
              <w:rPr>
                <w:rStyle w:val="Sautdindex"/>
                <w:rFonts w:eastAsia="" w:cs="" w:cstheme="minorBidi" w:eastAsiaTheme="minorEastAsia"/>
                <w:b w:val="false"/>
                <w:bCs w:val="false"/>
                <w:color w:val="484D7A"/>
                <w:sz w:val="24"/>
                <w:szCs w:val="24"/>
              </w:rPr>
              <w:tab/>
            </w:r>
            <w:r>
              <w:rPr>
                <w:rStyle w:val="Sautdindex"/>
                <w:rFonts w:cs="Arial" w:ascii="Arial" w:hAnsi="Arial"/>
                <w:color w:val="484D7A"/>
              </w:rPr>
              <w:t>Les données d’exposition des populations</w:t>
            </w:r>
            <w:r>
              <w:rPr>
                <w:webHidden/>
              </w:rPr>
              <w:fldChar w:fldCharType="begin"/>
            </w:r>
            <w:r>
              <w:rPr>
                <w:webHidden/>
              </w:rPr>
              <w:instrText>PAGEREF _Toc102381442 \h</w:instrText>
            </w:r>
            <w:r>
              <w:rPr>
                <w:webHidden/>
              </w:rPr>
              <w:fldChar w:fldCharType="separate"/>
            </w:r>
            <w:r>
              <w:rPr>
                <w:rStyle w:val="Sautdindex"/>
                <w:vanish w:val="false"/>
                <w:color w:val="484D7A"/>
              </w:rPr>
              <w:tab/>
              <w:t>10</w:t>
            </w:r>
            <w:r>
              <w:rPr>
                <w:webHidden/>
              </w:rPr>
              <w:fldChar w:fldCharType="end"/>
            </w:r>
          </w:hyperlink>
        </w:p>
        <w:p>
          <w:pPr>
            <w:pStyle w:val="Tabledesmatiresniveau1"/>
            <w:tabs>
              <w:tab w:val="clear" w:pos="708"/>
              <w:tab w:val="left" w:pos="480" w:leader="none"/>
              <w:tab w:val="right" w:pos="10053" w:leader="underscore"/>
            </w:tabs>
            <w:rPr>
              <w:rFonts w:eastAsia="" w:cs="" w:cstheme="minorBidi" w:eastAsiaTheme="minorEastAsia"/>
              <w:b w:val="false"/>
              <w:b w:val="false"/>
              <w:bCs w:val="false"/>
              <w:i w:val="false"/>
              <w:i w:val="false"/>
              <w:iCs w:val="false"/>
              <w:color w:val="484D7A"/>
            </w:rPr>
          </w:pPr>
          <w:hyperlink w:anchor="_Toc102381443">
            <w:r>
              <w:rPr>
                <w:webHidden/>
                <w:rStyle w:val="Sautdindex"/>
                <w:rFonts w:cs="Arial" w:ascii="Marianne" w:hAnsi="Marianne"/>
                <w:color w:val="484D7A"/>
              </w:rPr>
              <w:t>4</w:t>
            </w:r>
            <w:r>
              <w:rPr>
                <w:rStyle w:val="Sautdindex"/>
                <w:rFonts w:eastAsia="" w:cs="" w:cstheme="minorBidi" w:eastAsiaTheme="minorEastAsia"/>
                <w:b w:val="false"/>
                <w:bCs w:val="false"/>
                <w:i w:val="false"/>
                <w:iCs w:val="false"/>
                <w:color w:val="484D7A"/>
              </w:rPr>
              <w:tab/>
            </w:r>
            <w:r>
              <w:rPr>
                <w:rStyle w:val="Sautdindex"/>
                <w:rFonts w:cs="Arial" w:ascii="Arial" w:hAnsi="Arial"/>
                <w:color w:val="484D7A"/>
              </w:rPr>
              <w:t>Fourniture des résultats aux services déconcentrés</w:t>
            </w:r>
            <w:r>
              <w:rPr>
                <w:webHidden/>
              </w:rPr>
              <w:fldChar w:fldCharType="begin"/>
            </w:r>
            <w:r>
              <w:rPr>
                <w:webHidden/>
              </w:rPr>
              <w:instrText>PAGEREF _Toc102381443 \h</w:instrText>
            </w:r>
            <w:r>
              <w:rPr>
                <w:webHidden/>
              </w:rPr>
              <w:fldChar w:fldCharType="separate"/>
            </w:r>
            <w:r>
              <w:rPr>
                <w:rStyle w:val="Sautdindex"/>
                <w:vanish w:val="false"/>
                <w:color w:val="484D7A"/>
              </w:rPr>
              <w:tab/>
              <w:t>10</w:t>
            </w:r>
            <w:r>
              <w:rPr>
                <w:webHidden/>
              </w:rPr>
              <w:fldChar w:fldCharType="end"/>
            </w:r>
          </w:hyperlink>
        </w:p>
        <w:p>
          <w:pPr>
            <w:pStyle w:val="Tabledesmatiresniveau1"/>
            <w:tabs>
              <w:tab w:val="clear" w:pos="708"/>
              <w:tab w:val="left" w:pos="480" w:leader="none"/>
              <w:tab w:val="right" w:pos="10053" w:leader="underscore"/>
            </w:tabs>
            <w:rPr>
              <w:rFonts w:eastAsia="" w:cs="" w:cstheme="minorBidi" w:eastAsiaTheme="minorEastAsia"/>
              <w:b w:val="false"/>
              <w:b w:val="false"/>
              <w:bCs w:val="false"/>
              <w:i w:val="false"/>
              <w:i w:val="false"/>
              <w:iCs w:val="false"/>
              <w:color w:val="484D7A"/>
            </w:rPr>
          </w:pPr>
          <w:hyperlink w:anchor="_Toc102381444">
            <w:r>
              <w:rPr>
                <w:webHidden/>
                <w:rStyle w:val="Sautdindex"/>
                <w:rFonts w:cs="Arial" w:ascii="Marianne" w:hAnsi="Marianne"/>
                <w:color w:val="484D7A"/>
              </w:rPr>
              <w:t>5</w:t>
            </w:r>
            <w:r>
              <w:rPr>
                <w:rStyle w:val="Sautdindex"/>
                <w:rFonts w:eastAsia="" w:cs="" w:cstheme="minorBidi" w:eastAsiaTheme="minorEastAsia"/>
                <w:b w:val="false"/>
                <w:bCs w:val="false"/>
                <w:i w:val="false"/>
                <w:iCs w:val="false"/>
                <w:color w:val="484D7A"/>
              </w:rPr>
              <w:tab/>
            </w:r>
            <w:r>
              <w:rPr>
                <w:rStyle w:val="Sautdindex"/>
                <w:rFonts w:cs="Arial" w:ascii="Arial" w:hAnsi="Arial"/>
                <w:color w:val="484D7A"/>
              </w:rPr>
              <w:t>Résultats</w:t>
            </w:r>
            <w:r>
              <w:rPr>
                <w:webHidden/>
              </w:rPr>
              <w:fldChar w:fldCharType="begin"/>
            </w:r>
            <w:r>
              <w:rPr>
                <w:webHidden/>
              </w:rPr>
              <w:instrText>PAGEREF _Toc102381444 \h</w:instrText>
            </w:r>
            <w:r>
              <w:rPr>
                <w:webHidden/>
              </w:rPr>
              <w:fldChar w:fldCharType="separate"/>
            </w:r>
            <w:r>
              <w:rPr>
                <w:rStyle w:val="Sautdindex"/>
                <w:vanish w:val="false"/>
                <w:color w:val="484D7A"/>
              </w:rPr>
              <w:tab/>
              <w:t>11</w:t>
            </w:r>
            <w:r>
              <w:rPr>
                <w:webHidden/>
              </w:rPr>
              <w:fldChar w:fldCharType="end"/>
            </w:r>
          </w:hyperlink>
        </w:p>
        <w:p>
          <w:pPr>
            <w:pStyle w:val="Tabledesmatiresniveau2"/>
            <w:tabs>
              <w:tab w:val="clear" w:pos="708"/>
              <w:tab w:val="left" w:pos="960" w:leader="none"/>
              <w:tab w:val="right" w:pos="10053" w:leader="underscore"/>
            </w:tabs>
            <w:rPr>
              <w:rFonts w:eastAsia="" w:cs="" w:cstheme="minorBidi" w:eastAsiaTheme="minorEastAsia"/>
              <w:b w:val="false"/>
              <w:b w:val="false"/>
              <w:bCs w:val="false"/>
              <w:color w:val="484D7A"/>
              <w:sz w:val="24"/>
              <w:szCs w:val="24"/>
            </w:rPr>
          </w:pPr>
          <w:hyperlink w:anchor="_Toc102381445">
            <w:r>
              <w:rPr>
                <w:webHidden/>
                <w:rStyle w:val="Sautdindex"/>
                <w:rFonts w:cs="Arial" w:ascii="Marianne Medium" w:hAnsi="Marianne Medium"/>
                <w:color w:val="484D7A"/>
              </w:rPr>
              <w:t>5.1</w:t>
            </w:r>
            <w:r>
              <w:rPr>
                <w:rStyle w:val="Sautdindex"/>
                <w:rFonts w:eastAsia="" w:cs="" w:cstheme="minorBidi" w:eastAsiaTheme="minorEastAsia"/>
                <w:b w:val="false"/>
                <w:bCs w:val="false"/>
                <w:color w:val="484D7A"/>
                <w:sz w:val="24"/>
                <w:szCs w:val="24"/>
              </w:rPr>
              <w:tab/>
            </w:r>
            <w:r>
              <w:rPr>
                <w:rStyle w:val="Sautdindex"/>
                <w:rFonts w:cs="Arial" w:ascii="Arial" w:hAnsi="Arial"/>
                <w:color w:val="484D7A"/>
              </w:rPr>
              <w:t>Les infrastructures routières et ferroviaires non concédées cartographiées sur le département</w:t>
            </w:r>
            <w:r>
              <w:rPr>
                <w:webHidden/>
              </w:rPr>
              <w:fldChar w:fldCharType="begin"/>
            </w:r>
            <w:r>
              <w:rPr>
                <w:webHidden/>
              </w:rPr>
              <w:instrText>PAGEREF _Toc102381445 \h</w:instrText>
            </w:r>
            <w:r>
              <w:rPr>
                <w:webHidden/>
              </w:rPr>
              <w:fldChar w:fldCharType="separate"/>
            </w:r>
            <w:r>
              <w:rPr>
                <w:rStyle w:val="Sautdindex"/>
                <w:vanish w:val="false"/>
                <w:color w:val="484D7A"/>
              </w:rPr>
              <w:tab/>
              <w:t>11</w:t>
            </w:r>
            <w:r>
              <w:rPr>
                <w:webHidden/>
              </w:rPr>
              <w:fldChar w:fldCharType="end"/>
            </w:r>
          </w:hyperlink>
        </w:p>
        <w:p>
          <w:pPr>
            <w:pStyle w:val="Tabledesmatiresniveau2"/>
            <w:tabs>
              <w:tab w:val="clear" w:pos="708"/>
              <w:tab w:val="left" w:pos="960" w:leader="none"/>
              <w:tab w:val="right" w:pos="10053" w:leader="underscore"/>
            </w:tabs>
            <w:rPr>
              <w:rFonts w:eastAsia="" w:cs="" w:cstheme="minorBidi" w:eastAsiaTheme="minorEastAsia"/>
              <w:b w:val="false"/>
              <w:b w:val="false"/>
              <w:bCs w:val="false"/>
              <w:color w:val="484D7A"/>
              <w:sz w:val="24"/>
              <w:szCs w:val="24"/>
            </w:rPr>
          </w:pPr>
          <w:hyperlink w:anchor="_Toc102381446">
            <w:r>
              <w:rPr>
                <w:webHidden/>
                <w:rStyle w:val="Sautdindex"/>
                <w:rFonts w:cs="Arial" w:ascii="Marianne Medium" w:hAnsi="Marianne Medium"/>
                <w:color w:val="484D7A"/>
              </w:rPr>
              <w:t>5.2</w:t>
            </w:r>
            <w:r>
              <w:rPr>
                <w:rStyle w:val="Sautdindex"/>
                <w:rFonts w:eastAsia="" w:cs="" w:cstheme="minorBidi" w:eastAsiaTheme="minorEastAsia"/>
                <w:b w:val="false"/>
                <w:bCs w:val="false"/>
                <w:color w:val="484D7A"/>
                <w:sz w:val="24"/>
                <w:szCs w:val="24"/>
              </w:rPr>
              <w:tab/>
            </w:r>
            <w:r>
              <w:rPr>
                <w:rStyle w:val="Sautdindex"/>
                <w:rFonts w:cs="Arial" w:ascii="Arial" w:hAnsi="Arial"/>
                <w:color w:val="484D7A"/>
              </w:rPr>
              <w:t>Les données d’exposition des populations</w:t>
            </w:r>
            <w:r>
              <w:rPr>
                <w:webHidden/>
              </w:rPr>
              <w:fldChar w:fldCharType="begin"/>
            </w:r>
            <w:r>
              <w:rPr>
                <w:webHidden/>
              </w:rPr>
              <w:instrText>PAGEREF _Toc102381446 \h</w:instrText>
            </w:r>
            <w:r>
              <w:rPr>
                <w:webHidden/>
              </w:rPr>
              <w:fldChar w:fldCharType="separate"/>
            </w:r>
            <w:r>
              <w:rPr>
                <w:rStyle w:val="Sautdindex"/>
                <w:vanish w:val="false"/>
                <w:color w:val="484D7A"/>
              </w:rPr>
              <w:tab/>
              <w:t>13</w:t>
            </w:r>
            <w:r>
              <w:rPr>
                <w:webHidden/>
              </w:rPr>
              <w:fldChar w:fldCharType="end"/>
            </w:r>
          </w:hyperlink>
        </w:p>
        <w:p>
          <w:pPr>
            <w:pStyle w:val="Tabledesmatiresniveau1"/>
            <w:tabs>
              <w:tab w:val="clear" w:pos="708"/>
              <w:tab w:val="left" w:pos="480" w:leader="none"/>
              <w:tab w:val="right" w:pos="10053" w:leader="underscore"/>
            </w:tabs>
            <w:rPr>
              <w:rFonts w:eastAsia="" w:cs="" w:cstheme="minorBidi" w:eastAsiaTheme="minorEastAsia"/>
              <w:b w:val="false"/>
              <w:b w:val="false"/>
              <w:bCs w:val="false"/>
              <w:i w:val="false"/>
              <w:i w:val="false"/>
              <w:iCs w:val="false"/>
              <w:color w:val="484D7A"/>
            </w:rPr>
          </w:pPr>
          <w:hyperlink w:anchor="_Toc102381447">
            <w:r>
              <w:rPr>
                <w:webHidden/>
                <w:rStyle w:val="Sautdindex"/>
                <w:rFonts w:cs="Arial" w:ascii="Marianne" w:hAnsi="Marianne"/>
                <w:color w:val="484D7A"/>
              </w:rPr>
              <w:t>6</w:t>
            </w:r>
            <w:r>
              <w:rPr>
                <w:rStyle w:val="Sautdindex"/>
                <w:rFonts w:eastAsia="" w:cs="" w:cstheme="minorBidi" w:eastAsiaTheme="minorEastAsia"/>
                <w:b w:val="false"/>
                <w:bCs w:val="false"/>
                <w:i w:val="false"/>
                <w:iCs w:val="false"/>
                <w:color w:val="484D7A"/>
              </w:rPr>
              <w:tab/>
            </w:r>
            <w:r>
              <w:rPr>
                <w:rStyle w:val="Sautdindex"/>
                <w:rFonts w:cs="Arial" w:ascii="Arial" w:hAnsi="Arial"/>
                <w:color w:val="484D7A"/>
              </w:rPr>
              <w:t>Précisions locales</w:t>
            </w:r>
            <w:r>
              <w:rPr>
                <w:webHidden/>
              </w:rPr>
              <w:fldChar w:fldCharType="begin"/>
            </w:r>
            <w:r>
              <w:rPr>
                <w:webHidden/>
              </w:rPr>
              <w:instrText>PAGEREF _Toc102381447 \h</w:instrText>
            </w:r>
            <w:r>
              <w:rPr>
                <w:webHidden/>
              </w:rPr>
              <w:fldChar w:fldCharType="separate"/>
            </w:r>
            <w:r>
              <w:rPr>
                <w:rStyle w:val="Sautdindex"/>
                <w:vanish w:val="false"/>
                <w:color w:val="484D7A"/>
              </w:rPr>
              <w:tab/>
              <w:t>26</w:t>
            </w:r>
            <w:r>
              <w:rPr>
                <w:webHidden/>
              </w:rPr>
              <w:fldChar w:fldCharType="end"/>
            </w:r>
          </w:hyperlink>
        </w:p>
        <w:p>
          <w:pPr>
            <w:pStyle w:val="Tabledesmatiresniveau1"/>
            <w:tabs>
              <w:tab w:val="clear" w:pos="708"/>
              <w:tab w:val="left" w:pos="480" w:leader="none"/>
              <w:tab w:val="right" w:pos="10053" w:leader="underscore"/>
            </w:tabs>
            <w:rPr>
              <w:rFonts w:eastAsia="" w:cs="" w:cstheme="minorBidi" w:eastAsiaTheme="minorEastAsia"/>
              <w:b w:val="false"/>
              <w:b w:val="false"/>
              <w:bCs w:val="false"/>
              <w:i w:val="false"/>
              <w:i w:val="false"/>
              <w:iCs w:val="false"/>
              <w:color w:val="484D7A"/>
            </w:rPr>
          </w:pPr>
          <w:hyperlink w:anchor="_Toc102381448">
            <w:r>
              <w:rPr>
                <w:webHidden/>
                <w:rStyle w:val="Sautdindex"/>
                <w:rFonts w:cs="Arial" w:ascii="Marianne" w:hAnsi="Marianne"/>
                <w:color w:val="484D7A"/>
              </w:rPr>
              <w:t>7</w:t>
            </w:r>
            <w:r>
              <w:rPr>
                <w:rStyle w:val="Sautdindex"/>
                <w:rFonts w:eastAsia="" w:cs="" w:cstheme="minorBidi" w:eastAsiaTheme="minorEastAsia"/>
                <w:b w:val="false"/>
                <w:bCs w:val="false"/>
                <w:i w:val="false"/>
                <w:iCs w:val="false"/>
                <w:color w:val="484D7A"/>
              </w:rPr>
              <w:tab/>
            </w:r>
            <w:r>
              <w:rPr>
                <w:rStyle w:val="Sautdindex"/>
                <w:rFonts w:cs="Arial" w:ascii="Arial" w:hAnsi="Arial"/>
                <w:color w:val="484D7A"/>
              </w:rPr>
              <w:t>Conclusion</w:t>
            </w:r>
            <w:r>
              <w:rPr>
                <w:webHidden/>
              </w:rPr>
              <w:fldChar w:fldCharType="begin"/>
            </w:r>
            <w:r>
              <w:rPr>
                <w:webHidden/>
              </w:rPr>
              <w:instrText>PAGEREF _Toc102381448 \h</w:instrText>
            </w:r>
            <w:r>
              <w:rPr>
                <w:webHidden/>
              </w:rPr>
              <w:fldChar w:fldCharType="separate"/>
            </w:r>
            <w:r>
              <w:rPr>
                <w:rStyle w:val="Sautdindex"/>
                <w:vanish w:val="false"/>
                <w:color w:val="484D7A"/>
              </w:rPr>
              <w:tab/>
              <w:t>26</w:t>
            </w:r>
            <w:r>
              <w:rPr>
                <w:webHidden/>
              </w:rPr>
              <w:fldChar w:fldCharType="end"/>
            </w:r>
          </w:hyperlink>
          <w:r>
            <w:rPr>
              <w:rStyle w:val="Sautdindex"/>
              <w:vanish w:val="false"/>
              <w:color w:val="484D7A"/>
            </w:rPr>
            <w:fldChar w:fldCharType="end"/>
          </w:r>
        </w:p>
      </w:sdtContent>
    </w:sdt>
    <w:p>
      <w:pPr>
        <w:pStyle w:val="Tabledesmatiresniveau1"/>
        <w:tabs>
          <w:tab w:val="clear" w:pos="708"/>
          <w:tab w:val="left" w:pos="480" w:leader="none"/>
          <w:tab w:val="right" w:pos="10053" w:leader="underscore"/>
        </w:tabs>
        <w:rPr>
          <w:rFonts w:ascii="Arial" w:hAnsi="Arial" w:cs="Arial"/>
        </w:rPr>
      </w:pPr>
      <w:r>
        <w:rPr>
          <w:rFonts w:cs="Arial" w:ascii="Arial" w:hAnsi="Arial"/>
        </w:rPr>
      </w:r>
    </w:p>
    <w:p>
      <w:pPr>
        <w:pStyle w:val="Normal"/>
        <w:rPr>
          <w:rFonts w:ascii="Arial" w:hAnsi="Arial" w:cs="Arial"/>
          <w:color w:val="484D7A"/>
        </w:rPr>
      </w:pPr>
      <w:r>
        <w:rPr>
          <w:rFonts w:cs="Arial" w:ascii="Arial" w:hAnsi="Arial"/>
          <w:color w:val="484D7A"/>
        </w:rPr>
      </w:r>
      <w:r>
        <w:br w:type="page"/>
      </w:r>
    </w:p>
    <w:p>
      <w:pPr>
        <w:pStyle w:val="Titre1"/>
        <w:numPr>
          <w:ilvl w:val="0"/>
          <w:numId w:val="2"/>
        </w:numPr>
        <w:jc w:val="both"/>
        <w:rPr>
          <w:rFonts w:ascii="Arial" w:hAnsi="Arial" w:cs="Arial"/>
          <w:b/>
          <w:b/>
          <w:bCs/>
          <w:color w:val="484D7A"/>
          <w:sz w:val="28"/>
          <w:szCs w:val="28"/>
        </w:rPr>
      </w:pPr>
      <w:bookmarkStart w:id="2" w:name="_Toc102381430"/>
      <w:r>
        <w:rPr>
          <w:rFonts w:cs="Arial" w:ascii="Arial" w:hAnsi="Arial"/>
          <w:b/>
          <w:bCs/>
          <w:color w:val="484D7A"/>
          <w:sz w:val="28"/>
          <w:szCs w:val="28"/>
        </w:rPr>
        <w:t>Introduction</w:t>
      </w:r>
      <w:bookmarkEnd w:id="2"/>
    </w:p>
    <w:p>
      <w:pPr>
        <w:pStyle w:val="Titre2"/>
        <w:numPr>
          <w:ilvl w:val="0"/>
          <w:numId w:val="0"/>
        </w:numPr>
        <w:ind w:left="0" w:hanging="0"/>
        <w:jc w:val="both"/>
        <w:rPr/>
      </w:pPr>
      <w:r>
        <w:rPr/>
      </w:r>
      <w:bookmarkStart w:id="3" w:name="_Toc70351760"/>
      <w:bookmarkStart w:id="4" w:name="_Toc70351760"/>
      <w:bookmarkEnd w:id="4"/>
    </w:p>
    <w:p>
      <w:pPr>
        <w:pStyle w:val="Normal"/>
        <w:rPr/>
      </w:pPr>
      <w:r>
        <w:rPr/>
      </w:r>
    </w:p>
    <w:p>
      <w:pPr>
        <w:pStyle w:val="Normal"/>
        <w:rPr/>
      </w:pPr>
      <w:r>
        <w:rPr/>
      </w:r>
    </w:p>
    <w:p>
      <w:pPr>
        <w:pStyle w:val="Titre2"/>
        <w:numPr>
          <w:ilvl w:val="1"/>
          <w:numId w:val="2"/>
        </w:numPr>
        <w:jc w:val="both"/>
        <w:rPr>
          <w:rFonts w:ascii="Arial" w:hAnsi="Arial" w:cs="Arial"/>
          <w:color w:val="484D7A"/>
        </w:rPr>
      </w:pPr>
      <w:bookmarkStart w:id="5" w:name="_Toc70351760"/>
      <w:bookmarkStart w:id="6" w:name="_Toc102381431"/>
      <w:bookmarkEnd w:id="5"/>
      <w:r>
        <w:rPr>
          <w:rFonts w:cs="Arial" w:ascii="Arial" w:hAnsi="Arial"/>
          <w:color w:val="484D7A"/>
        </w:rPr>
        <w:t>Contexte réglementaire</w:t>
      </w:r>
      <w:bookmarkEnd w:id="6"/>
    </w:p>
    <w:p>
      <w:pPr>
        <w:pStyle w:val="Normal"/>
        <w:jc w:val="both"/>
        <w:rPr/>
      </w:pPr>
      <w:r>
        <w:rPr/>
      </w:r>
    </w:p>
    <w:p>
      <w:pPr>
        <w:pStyle w:val="Standard"/>
        <w:rPr>
          <w:sz w:val="22"/>
          <w:szCs w:val="22"/>
        </w:rPr>
      </w:pPr>
      <w:r>
        <w:rPr>
          <w:sz w:val="22"/>
          <w:szCs w:val="22"/>
        </w:rPr>
        <w:t xml:space="preserve">La </w:t>
      </w:r>
      <w:r>
        <w:rPr>
          <w:b/>
          <w:bCs/>
          <w:sz w:val="22"/>
          <w:szCs w:val="22"/>
        </w:rPr>
        <w:t xml:space="preserve">Directive européenne 2002/49/CE (dite « Directive Bruit ») </w:t>
      </w:r>
      <w:r>
        <w:rPr>
          <w:sz w:val="22"/>
          <w:szCs w:val="22"/>
        </w:rPr>
        <w:t xml:space="preserve">vise à établir une approche commune destinée à éviter, prévenir ou réduire les effets nuisibles liés au bruit dans l’environnement. Cette réglementation européenne impose l’élaboration, tous les 5 ans, à échéance fixe, des </w:t>
      </w:r>
      <w:r>
        <w:rPr>
          <w:b/>
          <w:bCs/>
          <w:sz w:val="22"/>
          <w:szCs w:val="22"/>
        </w:rPr>
        <w:t>cartes de bruit stratégiques (CBS)</w:t>
      </w:r>
      <w:r>
        <w:rPr>
          <w:sz w:val="22"/>
          <w:szCs w:val="22"/>
        </w:rPr>
        <w:t xml:space="preserve"> selon des méthodes d’évaluation communes, puis de </w:t>
      </w:r>
      <w:r>
        <w:rPr>
          <w:b/>
          <w:bCs/>
          <w:sz w:val="22"/>
          <w:szCs w:val="22"/>
        </w:rPr>
        <w:t>plans</w:t>
      </w:r>
      <w:r>
        <w:rPr>
          <w:sz w:val="22"/>
          <w:szCs w:val="22"/>
        </w:rPr>
        <w:t xml:space="preserve"> </w:t>
      </w:r>
      <w:r>
        <w:rPr>
          <w:b/>
          <w:bCs/>
          <w:sz w:val="22"/>
          <w:szCs w:val="22"/>
        </w:rPr>
        <w:t>de prévention du bruit dans l’environnement (PPBE)</w:t>
      </w:r>
      <w:r>
        <w:rPr>
          <w:sz w:val="22"/>
          <w:szCs w:val="22"/>
        </w:rPr>
        <w:t xml:space="preserve"> pour prévenir et si possible réduire les effets des nuisances sonores. L’adoption des CBS de la </w:t>
      </w:r>
      <w:r>
        <w:rPr>
          <w:b/>
          <w:bCs/>
          <w:sz w:val="22"/>
          <w:szCs w:val="22"/>
        </w:rPr>
        <w:t>4</w:t>
      </w:r>
      <w:r>
        <w:rPr>
          <w:b/>
          <w:bCs/>
          <w:sz w:val="22"/>
          <w:szCs w:val="22"/>
          <w:vertAlign w:val="superscript"/>
        </w:rPr>
        <w:t>ème</w:t>
      </w:r>
      <w:r>
        <w:rPr>
          <w:b/>
          <w:bCs/>
          <w:sz w:val="22"/>
          <w:szCs w:val="22"/>
        </w:rPr>
        <w:t xml:space="preserve"> échéance de la Directive Bruit</w:t>
      </w:r>
      <w:r>
        <w:rPr>
          <w:sz w:val="22"/>
          <w:szCs w:val="22"/>
        </w:rPr>
        <w:t xml:space="preserve"> est fixée au </w:t>
      </w:r>
      <w:r>
        <w:rPr>
          <w:b/>
          <w:bCs/>
          <w:sz w:val="22"/>
          <w:szCs w:val="22"/>
        </w:rPr>
        <w:t>30 juin 2022</w:t>
      </w:r>
      <w:r>
        <w:rPr>
          <w:sz w:val="22"/>
          <w:szCs w:val="22"/>
        </w:rPr>
        <w:t xml:space="preserve"> et celle des PPBE au </w:t>
      </w:r>
      <w:r>
        <w:rPr>
          <w:b/>
          <w:sz w:val="22"/>
          <w:szCs w:val="22"/>
        </w:rPr>
        <w:t>18 juillet 2024</w:t>
      </w:r>
      <w:r>
        <w:rPr>
          <w:sz w:val="22"/>
          <w:szCs w:val="22"/>
        </w:rPr>
        <w:t>.</w:t>
      </w:r>
    </w:p>
    <w:p>
      <w:pPr>
        <w:pStyle w:val="Standard"/>
        <w:rPr>
          <w:sz w:val="22"/>
          <w:szCs w:val="22"/>
        </w:rPr>
      </w:pPr>
      <w:r>
        <w:rPr>
          <w:sz w:val="22"/>
          <w:szCs w:val="22"/>
        </w:rPr>
      </w:r>
    </w:p>
    <w:p>
      <w:pPr>
        <w:pStyle w:val="Standard"/>
        <w:rPr>
          <w:rFonts w:ascii="Calibri" w:hAnsi="Calibri" w:eastAsia="Calibri" w:cs="F"/>
          <w:color w:val="auto"/>
          <w:sz w:val="24"/>
          <w:szCs w:val="24"/>
          <w:lang w:eastAsia="en-US"/>
        </w:rPr>
      </w:pPr>
      <w:r>
        <w:rPr>
          <w:sz w:val="22"/>
          <w:szCs w:val="22"/>
        </w:rPr>
        <w:t>La Directive européenne 2002/49/CE est transposée en droit français par les articles L.572-1 à L.572</w:t>
        <w:noBreakHyphen/>
        <w:t>11 et R.572-1 à R.572</w:t>
        <w:noBreakHyphen/>
        <w:t xml:space="preserve">12 du Code de l'environnement, l’arrêté du 24 avril 2018 fixant la liste des aérodromes mentionnés à l’article R.112-5 du Code de l’urbanisme ainsi que l’arrêté du 4 avril 2006 relatif à l’établissement des cartes de bruit et plans de prévention du bruit dans l’environnement, modifié. </w:t>
      </w:r>
      <w:r>
        <w:rPr>
          <w:rFonts w:eastAsia="Calibri"/>
          <w:sz w:val="22"/>
          <w:szCs w:val="22"/>
          <w:lang w:eastAsia="en-US"/>
        </w:rPr>
        <w:t>La liste des agglomérations de plus de 100 000 habitants est définie par l’arrêté du 14 avril 2017 pour application de l’article L.572-2 du Code de l’Environnement, complété par les arrêtés modificatifs des 26 décembre 2017 et 10 juin 2020.</w:t>
      </w:r>
    </w:p>
    <w:p>
      <w:pPr>
        <w:pStyle w:val="Standard"/>
        <w:rPr>
          <w:sz w:val="22"/>
          <w:szCs w:val="22"/>
        </w:rPr>
      </w:pPr>
      <w:r>
        <w:rPr>
          <w:sz w:val="22"/>
          <w:szCs w:val="22"/>
        </w:rPr>
      </w:r>
    </w:p>
    <w:p>
      <w:pPr>
        <w:pStyle w:val="Standard"/>
        <w:rPr>
          <w:sz w:val="22"/>
          <w:szCs w:val="22"/>
        </w:rPr>
      </w:pPr>
      <w:r>
        <w:rPr>
          <w:sz w:val="22"/>
          <w:szCs w:val="22"/>
        </w:rPr>
        <w:t>Les infrastructures concernées par cette réglementation répondent aux critères suivants :</w:t>
      </w:r>
    </w:p>
    <w:p>
      <w:pPr>
        <w:pStyle w:val="ListParagraph"/>
        <w:numPr>
          <w:ilvl w:val="0"/>
          <w:numId w:val="3"/>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 xml:space="preserve">Les </w:t>
      </w:r>
      <w:r>
        <w:rPr>
          <w:rFonts w:cs="Arial" w:ascii="Arial" w:hAnsi="Arial"/>
          <w:b/>
          <w:bCs/>
          <w:color w:val="484D7A"/>
          <w:sz w:val="22"/>
          <w:szCs w:val="22"/>
        </w:rPr>
        <w:t>infrastructures routières supportant un trafic supérieur à 3 millions</w:t>
      </w:r>
      <w:r>
        <w:rPr>
          <w:rFonts w:cs="Arial" w:ascii="Arial" w:hAnsi="Arial"/>
          <w:color w:val="484D7A"/>
          <w:sz w:val="22"/>
          <w:szCs w:val="22"/>
        </w:rPr>
        <w:t xml:space="preserve"> </w:t>
      </w:r>
      <w:r>
        <w:rPr>
          <w:rFonts w:cs="Arial" w:ascii="Arial" w:hAnsi="Arial"/>
          <w:b/>
          <w:bCs/>
          <w:color w:val="484D7A"/>
          <w:sz w:val="22"/>
          <w:szCs w:val="22"/>
        </w:rPr>
        <w:t>de véhicules par an</w:t>
      </w:r>
      <w:r>
        <w:rPr>
          <w:rFonts w:cs="Arial" w:ascii="Arial" w:hAnsi="Arial"/>
          <w:color w:val="484D7A"/>
          <w:sz w:val="22"/>
          <w:szCs w:val="22"/>
        </w:rPr>
        <w:t> ;</w:t>
      </w:r>
    </w:p>
    <w:p>
      <w:pPr>
        <w:pStyle w:val="ListParagraph"/>
        <w:numPr>
          <w:ilvl w:val="0"/>
          <w:numId w:val="3"/>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 xml:space="preserve">Les </w:t>
      </w:r>
      <w:r>
        <w:rPr>
          <w:rFonts w:cs="Arial" w:ascii="Arial" w:hAnsi="Arial"/>
          <w:b/>
          <w:bCs/>
          <w:color w:val="484D7A"/>
          <w:sz w:val="22"/>
          <w:szCs w:val="22"/>
        </w:rPr>
        <w:t>infrastructures ferroviaires supportant un trafic supérieur à 30 000 passages</w:t>
      </w:r>
      <w:r>
        <w:rPr>
          <w:rFonts w:cs="Arial" w:ascii="Arial" w:hAnsi="Arial"/>
          <w:color w:val="484D7A"/>
          <w:sz w:val="22"/>
          <w:szCs w:val="22"/>
        </w:rPr>
        <w:t xml:space="preserve"> </w:t>
      </w:r>
      <w:r>
        <w:rPr>
          <w:rFonts w:cs="Arial" w:ascii="Arial" w:hAnsi="Arial"/>
          <w:b/>
          <w:bCs/>
          <w:color w:val="484D7A"/>
          <w:sz w:val="22"/>
          <w:szCs w:val="22"/>
        </w:rPr>
        <w:t>de train par an</w:t>
      </w:r>
      <w:r>
        <w:rPr>
          <w:rFonts w:cs="Arial" w:ascii="Arial" w:hAnsi="Arial"/>
          <w:color w:val="484D7A"/>
          <w:sz w:val="22"/>
          <w:szCs w:val="22"/>
        </w:rPr>
        <w:t> ;</w:t>
      </w:r>
    </w:p>
    <w:p>
      <w:pPr>
        <w:pStyle w:val="ListParagraph"/>
        <w:numPr>
          <w:ilvl w:val="0"/>
          <w:numId w:val="3"/>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 xml:space="preserve">Les </w:t>
      </w:r>
      <w:r>
        <w:rPr>
          <w:rFonts w:cs="Arial" w:ascii="Arial" w:hAnsi="Arial"/>
          <w:b/>
          <w:bCs/>
          <w:color w:val="484D7A"/>
          <w:sz w:val="22"/>
          <w:szCs w:val="22"/>
        </w:rPr>
        <w:t>aérodromes de plus de 50 000 mouvements par an</w:t>
      </w:r>
      <w:r>
        <w:rPr>
          <w:rFonts w:cs="Arial" w:ascii="Arial" w:hAnsi="Arial"/>
          <w:color w:val="484D7A"/>
          <w:sz w:val="22"/>
          <w:szCs w:val="22"/>
        </w:rPr>
        <w:t xml:space="preserve"> dont la liste est définie par l'arrêté du 24 avril 2018 ;</w:t>
      </w:r>
    </w:p>
    <w:p>
      <w:pPr>
        <w:pStyle w:val="ListParagraph"/>
        <w:numPr>
          <w:ilvl w:val="0"/>
          <w:numId w:val="3"/>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 xml:space="preserve">Les </w:t>
      </w:r>
      <w:r>
        <w:rPr>
          <w:rFonts w:cs="Arial" w:ascii="Arial" w:hAnsi="Arial"/>
          <w:b/>
          <w:bCs/>
          <w:color w:val="484D7A"/>
          <w:sz w:val="22"/>
          <w:szCs w:val="22"/>
        </w:rPr>
        <w:t xml:space="preserve">agglomérations définies par l’arrêté du 14 avril 2017 </w:t>
      </w:r>
      <w:r>
        <w:rPr>
          <w:rFonts w:cs="Arial" w:ascii="Arial" w:hAnsi="Arial"/>
          <w:color w:val="484D7A"/>
          <w:sz w:val="22"/>
          <w:szCs w:val="22"/>
        </w:rPr>
        <w:t>établissant la liste des agglomérations de plus de 100 000 habitants pour application de l'article L.572-2 du code de l'environnement, modifié par l’arrêté du 26 décembre 2017 et l’arrêté du 10 juin 2020.</w:t>
      </w:r>
    </w:p>
    <w:p>
      <w:pPr>
        <w:pStyle w:val="Standard"/>
        <w:rPr>
          <w:sz w:val="22"/>
          <w:szCs w:val="22"/>
        </w:rPr>
      </w:pPr>
      <w:r>
        <w:rPr>
          <w:sz w:val="22"/>
          <w:szCs w:val="22"/>
        </w:rPr>
      </w:r>
    </w:p>
    <w:p>
      <w:pPr>
        <w:pStyle w:val="Standard"/>
        <w:rPr>
          <w:sz w:val="22"/>
          <w:szCs w:val="22"/>
        </w:rPr>
      </w:pPr>
      <w:r>
        <w:rPr>
          <w:sz w:val="22"/>
          <w:szCs w:val="22"/>
        </w:rPr>
        <w:t>Pour chaque infrastructure, les CBS prennent la forme :</w:t>
      </w:r>
    </w:p>
    <w:p>
      <w:pPr>
        <w:pStyle w:val="ListParagraph"/>
        <w:numPr>
          <w:ilvl w:val="0"/>
          <w:numId w:val="4"/>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 xml:space="preserve">De </w:t>
      </w:r>
      <w:r>
        <w:rPr>
          <w:rFonts w:cs="Arial" w:ascii="Arial" w:hAnsi="Arial"/>
          <w:b/>
          <w:bCs/>
          <w:color w:val="484D7A"/>
          <w:sz w:val="22"/>
          <w:szCs w:val="22"/>
        </w:rPr>
        <w:t>fichiers cartographiques SIG représentant les surfaces impactées</w:t>
      </w:r>
      <w:r>
        <w:rPr>
          <w:rFonts w:cs="Arial" w:ascii="Arial" w:hAnsi="Arial"/>
          <w:color w:val="484D7A"/>
          <w:sz w:val="22"/>
          <w:szCs w:val="22"/>
        </w:rPr>
        <w:t xml:space="preserve"> par les classes de bruit définies par l'arrêté du 4 avril 2006 ;</w:t>
      </w:r>
    </w:p>
    <w:p>
      <w:pPr>
        <w:pStyle w:val="ListParagraph"/>
        <w:numPr>
          <w:ilvl w:val="0"/>
          <w:numId w:val="4"/>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 xml:space="preserve">De </w:t>
      </w:r>
      <w:r>
        <w:rPr>
          <w:rFonts w:cs="Arial" w:ascii="Arial" w:hAnsi="Arial"/>
          <w:b/>
          <w:bCs/>
          <w:color w:val="484D7A"/>
          <w:sz w:val="22"/>
          <w:szCs w:val="22"/>
        </w:rPr>
        <w:t>tableaux d’exposition des populations au bruit</w:t>
      </w:r>
      <w:r>
        <w:rPr>
          <w:rFonts w:cs="Arial" w:ascii="Arial" w:hAnsi="Arial"/>
          <w:color w:val="484D7A"/>
          <w:sz w:val="22"/>
          <w:szCs w:val="22"/>
        </w:rPr>
        <w:t>, indiquant le nombre de personnes vivant dans les bâtiments d'habitation et le nombre d'établissements d'enseignement et de santé impactés par les classes de bruit cartographiées (sur l'intégralité de l'infrastructure et sur les parties hors d'une grande agglomération) ;</w:t>
      </w:r>
    </w:p>
    <w:p>
      <w:pPr>
        <w:pStyle w:val="ListParagraph"/>
        <w:numPr>
          <w:ilvl w:val="0"/>
          <w:numId w:val="4"/>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 xml:space="preserve">De </w:t>
      </w:r>
      <w:r>
        <w:rPr>
          <w:rFonts w:cs="Arial" w:ascii="Arial" w:hAnsi="Arial"/>
          <w:b/>
          <w:bCs/>
          <w:color w:val="484D7A"/>
          <w:sz w:val="22"/>
          <w:szCs w:val="22"/>
        </w:rPr>
        <w:t>tableaux indiquant la superficie couverte par les classes de bruit</w:t>
      </w:r>
      <w:r>
        <w:rPr>
          <w:rFonts w:cs="Arial" w:ascii="Arial" w:hAnsi="Arial"/>
          <w:color w:val="484D7A"/>
          <w:sz w:val="22"/>
          <w:szCs w:val="22"/>
        </w:rPr>
        <w:t xml:space="preserve"> définies par l'arrêté du 4 avril 2006.</w:t>
      </w:r>
    </w:p>
    <w:p>
      <w:pPr>
        <w:pStyle w:val="Standard"/>
        <w:rPr>
          <w:sz w:val="22"/>
          <w:szCs w:val="22"/>
        </w:rPr>
      </w:pPr>
      <w:r>
        <w:rPr>
          <w:sz w:val="22"/>
          <w:szCs w:val="22"/>
        </w:rPr>
      </w:r>
    </w:p>
    <w:p>
      <w:pPr>
        <w:pStyle w:val="Standard"/>
        <w:rPr>
          <w:sz w:val="22"/>
          <w:szCs w:val="22"/>
        </w:rPr>
      </w:pPr>
      <w:r>
        <w:rPr>
          <w:sz w:val="22"/>
          <w:szCs w:val="22"/>
        </w:rPr>
        <w:t xml:space="preserve">Les </w:t>
      </w:r>
      <w:r>
        <w:rPr>
          <w:b/>
          <w:bCs/>
          <w:sz w:val="22"/>
          <w:szCs w:val="22"/>
        </w:rPr>
        <w:t>CBS des grandes infrastructures de transport terrestre (GITT) des réseaux routier et ferroviaire non concédés sont calculées à l’échelle départementale</w:t>
      </w:r>
      <w:r>
        <w:rPr>
          <w:sz w:val="22"/>
          <w:szCs w:val="22"/>
        </w:rPr>
        <w:t xml:space="preserve"> </w:t>
      </w:r>
      <w:r>
        <w:rPr>
          <w:bCs/>
          <w:sz w:val="22"/>
          <w:szCs w:val="22"/>
        </w:rPr>
        <w:t>dans</w:t>
      </w:r>
      <w:r>
        <w:rPr>
          <w:b/>
          <w:bCs/>
          <w:sz w:val="22"/>
          <w:szCs w:val="22"/>
        </w:rPr>
        <w:t xml:space="preserve"> </w:t>
      </w:r>
      <w:r>
        <w:rPr>
          <w:bCs/>
          <w:sz w:val="22"/>
          <w:szCs w:val="22"/>
        </w:rPr>
        <w:t>le cadre d’un programme piloté par le Cerema et réunissant l’UGE, le CNRS et un bureau d’études spécialisé dans le traitement informatique de données géolocalisées</w:t>
      </w:r>
      <w:r>
        <w:rPr>
          <w:sz w:val="22"/>
          <w:szCs w:val="22"/>
        </w:rPr>
        <w:t>. Les grandes agglomérations et les sociétés concessionnaires – autoroutières et ferroviaire – entrant dans le champ d’application de la directive doivent élaborer les CBS sur leur périmètre. Les PPBE devront être réalisés par les autorités compétentes sur la base des CBS modélisées.</w:t>
      </w:r>
    </w:p>
    <w:p>
      <w:pPr>
        <w:pStyle w:val="Titre2"/>
        <w:numPr>
          <w:ilvl w:val="1"/>
          <w:numId w:val="2"/>
        </w:numPr>
        <w:jc w:val="both"/>
        <w:rPr>
          <w:rFonts w:ascii="Arial" w:hAnsi="Arial" w:cs="Arial"/>
          <w:color w:val="484D7A"/>
        </w:rPr>
      </w:pPr>
      <w:bookmarkStart w:id="7" w:name="_Toc102381432"/>
      <w:r>
        <w:rPr>
          <w:rFonts w:cs="Arial" w:ascii="Arial" w:hAnsi="Arial"/>
          <w:color w:val="484D7A"/>
        </w:rPr>
        <w:t>Contexte du projet</w:t>
      </w:r>
      <w:bookmarkEnd w:id="7"/>
    </w:p>
    <w:p>
      <w:pPr>
        <w:pStyle w:val="Normal"/>
        <w:jc w:val="both"/>
        <w:rPr/>
      </w:pPr>
      <w:r>
        <w:rPr/>
      </w:r>
    </w:p>
    <w:p>
      <w:pPr>
        <w:pStyle w:val="Standard"/>
        <w:rPr>
          <w:sz w:val="22"/>
          <w:szCs w:val="22"/>
        </w:rPr>
      </w:pPr>
      <w:r>
        <w:rPr>
          <w:sz w:val="22"/>
          <w:szCs w:val="22"/>
        </w:rPr>
        <w:t xml:space="preserve">La </w:t>
      </w:r>
      <w:r>
        <w:rPr>
          <w:b/>
          <w:bCs/>
          <w:sz w:val="22"/>
          <w:szCs w:val="22"/>
        </w:rPr>
        <w:t xml:space="preserve">Direction Générale de la Prévention des Risques (DGPR) et la Direction Générale des Infrastructures, des Transports et de la Mer (DGITM) ont mandaté le Cerema </w:t>
      </w:r>
      <w:r>
        <w:rPr>
          <w:sz w:val="22"/>
          <w:szCs w:val="22"/>
        </w:rPr>
        <w:t xml:space="preserve">pour son appui technique dans le cadre de la réalisation de la quatrième échéance de la Directive Bruit. Le Cerema s’est entouré de l’UGE, du CNRS, et d’un bureau d’études spécialisé en service géomatique pour fournir cet accompagnement technique, qui s’est traduit par : </w:t>
      </w:r>
    </w:p>
    <w:p>
      <w:pPr>
        <w:pStyle w:val="ListParagraph"/>
        <w:numPr>
          <w:ilvl w:val="0"/>
          <w:numId w:val="5"/>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 xml:space="preserve">La </w:t>
      </w:r>
      <w:r>
        <w:rPr>
          <w:rFonts w:cs="Arial" w:ascii="Arial" w:hAnsi="Arial"/>
          <w:b/>
          <w:bCs/>
          <w:color w:val="484D7A"/>
          <w:sz w:val="22"/>
          <w:szCs w:val="22"/>
        </w:rPr>
        <w:t>consolidation d’une</w:t>
      </w:r>
      <w:r>
        <w:rPr>
          <w:rFonts w:cs="Arial" w:ascii="Arial" w:hAnsi="Arial"/>
          <w:color w:val="484D7A"/>
          <w:sz w:val="22"/>
          <w:szCs w:val="22"/>
        </w:rPr>
        <w:t xml:space="preserve"> </w:t>
      </w:r>
      <w:r>
        <w:rPr>
          <w:rFonts w:cs="Arial" w:ascii="Arial" w:hAnsi="Arial"/>
          <w:b/>
          <w:bCs/>
          <w:color w:val="484D7A"/>
          <w:sz w:val="22"/>
          <w:szCs w:val="22"/>
        </w:rPr>
        <w:t>base nationale des données d’entrée routières et hors trafic</w:t>
      </w:r>
      <w:r>
        <w:rPr>
          <w:rFonts w:cs="Arial" w:ascii="Arial" w:hAnsi="Arial"/>
          <w:color w:val="484D7A"/>
          <w:sz w:val="22"/>
          <w:szCs w:val="22"/>
        </w:rPr>
        <w:t xml:space="preserve"> au format Géostandard, nécessaires à l’élaboration des CBS. Les données routières sont affectées par tronçon, le tronçon étant l’unité linéaire caractérisée par des données qui lui sont propres. Les données sont organisées en différents « champs » ;</w:t>
      </w:r>
    </w:p>
    <w:p>
      <w:pPr>
        <w:pStyle w:val="ListParagraph"/>
        <w:numPr>
          <w:ilvl w:val="0"/>
          <w:numId w:val="5"/>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w:t>
      </w:r>
      <w:r>
        <w:rPr>
          <w:rFonts w:cs="Arial" w:ascii="Arial" w:hAnsi="Arial"/>
          <w:b/>
          <w:bCs/>
          <w:color w:val="484D7A"/>
          <w:sz w:val="22"/>
          <w:szCs w:val="22"/>
        </w:rPr>
        <w:t>élaboration des CBS des grandes infrastructures de transport terrestre (GITT) non concédées, incluant les axes routiers et ferroviaires éligibles</w:t>
      </w:r>
      <w:r>
        <w:rPr>
          <w:rFonts w:cs="Arial" w:ascii="Arial" w:hAnsi="Arial"/>
          <w:color w:val="484D7A"/>
          <w:sz w:val="22"/>
          <w:szCs w:val="22"/>
        </w:rPr>
        <w:t>. Les gestionnaires concernés sont les Directions interdépartementales des routes (DIR), les Conseils Départementaux, les communes et les agglomérations sur le territoire métropolitain et en outre-mer. Les CBS sont réalisées grâce au logiciel de modélisation acoustique NoiseModelling, conjointement développé et adapté aux contraintes de la 4</w:t>
      </w:r>
      <w:r>
        <w:rPr>
          <w:rFonts w:cs="Arial" w:ascii="Arial" w:hAnsi="Arial"/>
          <w:color w:val="484D7A"/>
          <w:sz w:val="22"/>
          <w:szCs w:val="22"/>
          <w:vertAlign w:val="superscript"/>
        </w:rPr>
        <w:t xml:space="preserve">ème </w:t>
      </w:r>
      <w:r>
        <w:rPr>
          <w:rFonts w:cs="Arial" w:ascii="Arial" w:hAnsi="Arial"/>
          <w:color w:val="484D7A"/>
          <w:sz w:val="22"/>
          <w:szCs w:val="22"/>
        </w:rPr>
        <w:t>échéance par l’Université Gustave Eiffel (UGE) et le CNRS ;</w:t>
      </w:r>
    </w:p>
    <w:p>
      <w:pPr>
        <w:pStyle w:val="ListParagraph"/>
        <w:numPr>
          <w:ilvl w:val="0"/>
          <w:numId w:val="5"/>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 xml:space="preserve">La </w:t>
      </w:r>
      <w:r>
        <w:rPr>
          <w:rFonts w:cs="Arial" w:ascii="Arial" w:hAnsi="Arial"/>
          <w:b/>
          <w:bCs/>
          <w:color w:val="484D7A"/>
          <w:sz w:val="22"/>
          <w:szCs w:val="22"/>
        </w:rPr>
        <w:t>participation au rapportage sur la plateforme européenne Reportnet</w:t>
      </w:r>
      <w:r>
        <w:rPr>
          <w:rFonts w:cs="Arial" w:ascii="Arial" w:hAnsi="Arial"/>
          <w:color w:val="484D7A"/>
          <w:sz w:val="22"/>
          <w:szCs w:val="22"/>
        </w:rPr>
        <w:t xml:space="preserve"> des fichiers relatifs au linéaire (DF1_5) et aux CBS (DF4_8).</w:t>
      </w:r>
    </w:p>
    <w:p>
      <w:pPr>
        <w:pStyle w:val="Normal"/>
        <w:jc w:val="both"/>
        <w:rPr/>
      </w:pPr>
      <w:r>
        <w:rPr/>
      </w:r>
    </w:p>
    <w:p>
      <w:pPr>
        <w:pStyle w:val="Normal"/>
        <w:jc w:val="both"/>
        <w:rPr/>
      </w:pPr>
      <w:r>
        <w:rPr/>
      </w:r>
    </w:p>
    <w:p>
      <w:pPr>
        <w:pStyle w:val="Titre2"/>
        <w:numPr>
          <w:ilvl w:val="1"/>
          <w:numId w:val="2"/>
        </w:numPr>
        <w:jc w:val="both"/>
        <w:rPr>
          <w:rFonts w:ascii="Arial" w:hAnsi="Arial" w:cs="Arial"/>
          <w:color w:val="484D7A"/>
        </w:rPr>
      </w:pPr>
      <w:bookmarkStart w:id="8" w:name="_Toc102381433"/>
      <w:r>
        <w:rPr>
          <w:rFonts w:cs="Arial" w:ascii="Arial" w:hAnsi="Arial"/>
          <w:color w:val="484D7A"/>
        </w:rPr>
        <w:t>Les cartes de bruit stratégiques</w:t>
      </w:r>
      <w:bookmarkEnd w:id="8"/>
    </w:p>
    <w:p>
      <w:pPr>
        <w:pStyle w:val="Normal"/>
        <w:rPr>
          <w:rFonts w:ascii="Arial" w:hAnsi="Arial" w:cs="Arial"/>
          <w:sz w:val="20"/>
          <w:szCs w:val="20"/>
        </w:rPr>
      </w:pPr>
      <w:r>
        <w:rPr>
          <w:rFonts w:cs="Arial" w:ascii="Arial" w:hAnsi="Arial"/>
          <w:sz w:val="20"/>
          <w:szCs w:val="20"/>
        </w:rPr>
      </w:r>
    </w:p>
    <w:p>
      <w:pPr>
        <w:pStyle w:val="Standard"/>
        <w:rPr>
          <w:sz w:val="22"/>
          <w:szCs w:val="22"/>
        </w:rPr>
      </w:pPr>
      <w:r>
        <w:rPr>
          <w:sz w:val="22"/>
          <w:szCs w:val="22"/>
        </w:rPr>
        <w:t xml:space="preserve">Les </w:t>
      </w:r>
      <w:r>
        <w:rPr>
          <w:b/>
          <w:bCs/>
          <w:sz w:val="22"/>
          <w:szCs w:val="22"/>
        </w:rPr>
        <w:t xml:space="preserve">cartes de bruit stratégiques (CBS) </w:t>
      </w:r>
      <w:r>
        <w:rPr>
          <w:sz w:val="22"/>
          <w:szCs w:val="22"/>
        </w:rPr>
        <w:t xml:space="preserve">sont des </w:t>
      </w:r>
      <w:r>
        <w:rPr>
          <w:b/>
          <w:bCs/>
          <w:sz w:val="22"/>
          <w:szCs w:val="22"/>
        </w:rPr>
        <w:t>documents de diagnostic macroscopique</w:t>
      </w:r>
      <w:r>
        <w:rPr>
          <w:sz w:val="22"/>
          <w:szCs w:val="22"/>
        </w:rPr>
        <w:t xml:space="preserve">, établies à l’échelle départementale, qui visent à </w:t>
      </w:r>
      <w:r>
        <w:rPr>
          <w:b/>
          <w:bCs/>
          <w:sz w:val="22"/>
          <w:szCs w:val="22"/>
        </w:rPr>
        <w:t>évaluer, au travers d’une modélisation, l’exposition des populations au bruit des infrastructures de transport terrestre</w:t>
      </w:r>
      <w:r>
        <w:rPr>
          <w:sz w:val="22"/>
          <w:szCs w:val="22"/>
        </w:rPr>
        <w:t>. A visée informative, les CBS permettent d’identifier les zones affectées par le bruit, d’estimer la population exposée et de quantifier les nuisances. Dans un second temps, les CBS permettent également de fournir aux autorités compétentes des éléments de diagnostic pour élaborer les PPBE, qui comportent des mesures de réduction des nuisances sonores.</w:t>
      </w:r>
    </w:p>
    <w:p>
      <w:pPr>
        <w:pStyle w:val="Standard"/>
        <w:rPr/>
      </w:pPr>
      <w:r>
        <w:rPr/>
      </w:r>
    </w:p>
    <w:p>
      <w:pPr>
        <w:pStyle w:val="Standard"/>
        <w:rPr/>
      </w:pPr>
      <w:r>
        <w:rPr/>
        <mc:AlternateContent>
          <mc:Choice Requires="wps">
            <w:drawing>
              <wp:anchor behindDoc="0" distT="3175" distB="0" distL="117475" distR="114300" simplePos="0" locked="0" layoutInCell="0" allowOverlap="1" relativeHeight="38" wp14:anchorId="7876D6F4">
                <wp:simplePos x="0" y="0"/>
                <wp:positionH relativeFrom="column">
                  <wp:posOffset>0</wp:posOffset>
                </wp:positionH>
                <wp:positionV relativeFrom="paragraph">
                  <wp:posOffset>635</wp:posOffset>
                </wp:positionV>
                <wp:extent cx="6396990" cy="619760"/>
                <wp:effectExtent l="0" t="0" r="17145" b="8255"/>
                <wp:wrapSquare wrapText="bothSides"/>
                <wp:docPr id="22" name="Zone de texte 24"/>
                <a:graphic xmlns:a="http://schemas.openxmlformats.org/drawingml/2006/main">
                  <a:graphicData uri="http://schemas.microsoft.com/office/word/2010/wordprocessingShape">
                    <wps:wsp>
                      <wps:cNvSpPr/>
                      <wps:spPr>
                        <a:xfrm>
                          <a:off x="0" y="0"/>
                          <a:ext cx="6396480" cy="619200"/>
                        </a:xfrm>
                        <a:prstGeom prst="rect">
                          <a:avLst/>
                        </a:prstGeom>
                        <a:noFill/>
                        <a:ln w="6350">
                          <a:solidFill>
                            <a:srgbClr val="484d7a"/>
                          </a:solidFill>
                          <a:round/>
                        </a:ln>
                      </wps:spPr>
                      <wps:style>
                        <a:lnRef idx="0"/>
                        <a:fillRef idx="0"/>
                        <a:effectRef idx="0"/>
                        <a:fontRef idx="minor"/>
                      </wps:style>
                      <wps:txbx>
                        <w:txbxContent>
                          <w:p>
                            <w:pPr>
                              <w:pStyle w:val="Standard"/>
                              <w:rPr>
                                <w:sz w:val="22"/>
                                <w:szCs w:val="22"/>
                              </w:rPr>
                            </w:pPr>
                            <w:r>
                              <w:rPr>
                                <w:sz w:val="22"/>
                                <w:szCs w:val="22"/>
                              </w:rPr>
                              <w:t>Comme tout travail de modélisation, l’exercice repose sur un certain nombre d’hypothèses. Les modélisations sont des images de la réalité et ne sont donc pas exactes, avec des limites et des hypothèses que seuls des experts peuvent réellement expliquer.</w:t>
                            </w:r>
                          </w:p>
                        </w:txbxContent>
                      </wps:txbx>
                      <wps:bodyPr>
                        <a:prstTxWarp prst="textNoShape"/>
                        <a:spAutoFit/>
                      </wps:bodyPr>
                    </wps:wsp>
                  </a:graphicData>
                </a:graphic>
              </wp:anchor>
            </w:drawing>
          </mc:Choice>
          <mc:Fallback>
            <w:pict>
              <v:rect id="shape_0" ID="Zone de texte 24" path="m0,0l-2147483645,0l-2147483645,-2147483646l0,-2147483646xe" stroked="t" style="position:absolute;margin-left:0pt;margin-top:0pt;width:503.6pt;height:48.7pt;mso-wrap-style:none;v-text-anchor:top" wp14:anchorId="7876D6F4">
                <v:fill o:detectmouseclick="t" on="false"/>
                <v:stroke color="#484d7a" weight="6480" joinstyle="round" endcap="flat"/>
                <v:textbox>
                  <w:txbxContent>
                    <w:p>
                      <w:pPr>
                        <w:pStyle w:val="Standard"/>
                        <w:rPr>
                          <w:sz w:val="22"/>
                          <w:szCs w:val="22"/>
                        </w:rPr>
                      </w:pPr>
                      <w:r>
                        <w:rPr>
                          <w:sz w:val="22"/>
                          <w:szCs w:val="22"/>
                        </w:rPr>
                        <w:t>Comme tout travail de modélisation, l’exercice repose sur un certain nombre d’hypothèses. Les modélisations sont des images de la réalité et ne sont donc pas exactes, avec des limites et des hypothèses que seuls des experts peuvent réellement expliquer.</w:t>
                      </w:r>
                    </w:p>
                  </w:txbxContent>
                </v:textbox>
                <w10:wrap type="square"/>
              </v:rect>
            </w:pict>
          </mc:Fallback>
        </mc:AlternateContent>
      </w:r>
    </w:p>
    <w:p>
      <w:pPr>
        <w:pStyle w:val="Standard"/>
        <w:rPr/>
      </w:pPr>
      <w:r>
        <w:rPr/>
      </w:r>
    </w:p>
    <w:p>
      <w:pPr>
        <w:pStyle w:val="Standard"/>
        <w:rPr>
          <w:sz w:val="22"/>
          <w:szCs w:val="22"/>
        </w:rPr>
      </w:pPr>
      <w:r>
        <w:rPr>
          <w:sz w:val="22"/>
          <w:szCs w:val="22"/>
        </w:rPr>
        <w:t>L’article R.572-5 définit quatre types de cartes de bruit stratégiques :</w:t>
      </w:r>
    </w:p>
    <w:p>
      <w:pPr>
        <w:pStyle w:val="ListParagraph"/>
        <w:numPr>
          <w:ilvl w:val="0"/>
          <w:numId w:val="6"/>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Type A : cartes des zones exposées au bruit à l’aide de courbes isophones ;</w:t>
      </w:r>
    </w:p>
    <w:p>
      <w:pPr>
        <w:pStyle w:val="ListParagraph"/>
        <w:numPr>
          <w:ilvl w:val="0"/>
          <w:numId w:val="6"/>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Type B : cartes des secteurs affectés par le bruit arrêtés par le Préfet ;</w:t>
      </w:r>
    </w:p>
    <w:p>
      <w:pPr>
        <w:pStyle w:val="ListParagraph"/>
        <w:numPr>
          <w:ilvl w:val="0"/>
          <w:numId w:val="6"/>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Type C : cartes des zones où les niveaux seuils mentionnés dans l’article L.572-6 sont dépassés ;</w:t>
      </w:r>
    </w:p>
    <w:p>
      <w:pPr>
        <w:pStyle w:val="ListParagraph"/>
        <w:numPr>
          <w:ilvl w:val="0"/>
          <w:numId w:val="6"/>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Type D : cartes des évolutions des niveaux de bruit, connues ou prévisibles, vis-à-vis de la situation de référence.</w:t>
      </w:r>
    </w:p>
    <w:p>
      <w:pPr>
        <w:pStyle w:val="Standard"/>
        <w:rPr>
          <w:b/>
          <w:b/>
          <w:bCs/>
          <w:sz w:val="22"/>
          <w:szCs w:val="22"/>
        </w:rPr>
      </w:pPr>
      <w:r>
        <w:rPr>
          <w:b/>
          <w:bCs/>
          <w:sz w:val="22"/>
          <w:szCs w:val="22"/>
        </w:rPr>
      </w:r>
    </w:p>
    <w:p>
      <w:pPr>
        <w:pStyle w:val="Standard"/>
        <w:rPr>
          <w:sz w:val="22"/>
          <w:szCs w:val="22"/>
        </w:rPr>
      </w:pPr>
      <w:r>
        <w:rPr>
          <w:b/>
          <w:bCs/>
          <w:sz w:val="22"/>
          <w:szCs w:val="22"/>
        </w:rPr>
        <w:t>Seules les cartes de type A et C nécessitent d’être produites dans le cadre de la 4</w:t>
      </w:r>
      <w:r>
        <w:rPr>
          <w:b/>
          <w:bCs/>
          <w:sz w:val="22"/>
          <w:szCs w:val="22"/>
          <w:vertAlign w:val="superscript"/>
        </w:rPr>
        <w:t>ème</w:t>
      </w:r>
      <w:r>
        <w:rPr>
          <w:b/>
          <w:bCs/>
          <w:sz w:val="22"/>
          <w:szCs w:val="22"/>
        </w:rPr>
        <w:t xml:space="preserve"> échéance</w:t>
      </w:r>
      <w:r>
        <w:rPr>
          <w:sz w:val="22"/>
          <w:szCs w:val="22"/>
        </w:rPr>
        <w:t xml:space="preserve"> : </w:t>
      </w:r>
    </w:p>
    <w:p>
      <w:pPr>
        <w:pStyle w:val="ListParagraph"/>
        <w:numPr>
          <w:ilvl w:val="0"/>
          <w:numId w:val="6"/>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Les cartes de type A sont rapportées à la Commission Européenne ;</w:t>
      </w:r>
    </w:p>
    <w:p>
      <w:pPr>
        <w:pStyle w:val="ListParagraph"/>
        <w:numPr>
          <w:ilvl w:val="0"/>
          <w:numId w:val="6"/>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Les cartes de type C sont utilisées par les services de l’État et les collectivités concernées pour l’élaboration des PPBE.</w:t>
      </w:r>
    </w:p>
    <w:p>
      <w:pPr>
        <w:pStyle w:val="Normal"/>
        <w:rPr>
          <w:rFonts w:ascii="Arial" w:hAnsi="Arial" w:cs="Arial"/>
          <w:color w:val="484D7A"/>
          <w:sz w:val="22"/>
          <w:szCs w:val="22"/>
        </w:rPr>
      </w:pPr>
      <w:r>
        <w:rPr>
          <w:rFonts w:cs="Arial" w:ascii="Arial" w:hAnsi="Arial"/>
          <w:color w:val="484D7A"/>
          <w:sz w:val="22"/>
          <w:szCs w:val="22"/>
        </w:rPr>
      </w:r>
    </w:p>
    <w:p>
      <w:pPr>
        <w:pStyle w:val="Normal"/>
        <w:rPr>
          <w:rFonts w:ascii="Arial" w:hAnsi="Arial" w:cs="Arial"/>
          <w:color w:val="484D7A"/>
          <w:sz w:val="22"/>
          <w:szCs w:val="22"/>
        </w:rPr>
      </w:pPr>
      <w:r>
        <w:rPr>
          <w:rFonts w:cs="Arial" w:ascii="Arial" w:hAnsi="Arial"/>
          <w:color w:val="484D7A"/>
          <w:sz w:val="22"/>
          <w:szCs w:val="22"/>
        </w:rPr>
      </w:r>
    </w:p>
    <w:p>
      <w:pPr>
        <w:pStyle w:val="Normal"/>
        <w:rPr>
          <w:rFonts w:ascii="Arial" w:hAnsi="Arial" w:cs="Arial"/>
          <w:color w:val="484D7A"/>
          <w:sz w:val="22"/>
          <w:szCs w:val="22"/>
        </w:rPr>
      </w:pPr>
      <w:r>
        <w:rPr>
          <w:rFonts w:cs="Arial" w:ascii="Arial" w:hAnsi="Arial"/>
          <w:color w:val="484D7A"/>
          <w:sz w:val="22"/>
          <w:szCs w:val="22"/>
        </w:rPr>
      </w:r>
    </w:p>
    <w:p>
      <w:pPr>
        <w:pStyle w:val="Normal"/>
        <w:suppressAutoHyphens w:val="true"/>
        <w:spacing w:lineRule="auto" w:line="276"/>
        <w:jc w:val="both"/>
        <w:textAlignment w:val="baseline"/>
        <w:rPr>
          <w:rFonts w:ascii="Arial" w:hAnsi="Arial" w:cs="Arial"/>
          <w:color w:val="484D7A"/>
          <w:sz w:val="22"/>
          <w:szCs w:val="22"/>
        </w:rPr>
      </w:pPr>
      <w:r>
        <w:rPr>
          <w:rFonts w:cs="Arial" w:ascii="Arial" w:hAnsi="Arial"/>
          <w:color w:val="484D7A"/>
          <w:sz w:val="22"/>
          <w:szCs w:val="22"/>
        </w:rPr>
        <w:t>Les cartes de type B et D ne sont pas établies dans le cadre de la 4</w:t>
      </w:r>
      <w:r>
        <w:rPr>
          <w:rFonts w:cs="Arial" w:ascii="Arial" w:hAnsi="Arial"/>
          <w:color w:val="484D7A"/>
          <w:sz w:val="22"/>
          <w:szCs w:val="22"/>
          <w:vertAlign w:val="superscript"/>
        </w:rPr>
        <w:t>ème</w:t>
      </w:r>
      <w:r>
        <w:rPr>
          <w:rFonts w:cs="Arial" w:ascii="Arial" w:hAnsi="Arial"/>
          <w:color w:val="484D7A"/>
          <w:sz w:val="22"/>
          <w:szCs w:val="22"/>
        </w:rPr>
        <w:t xml:space="preserve"> échéance :</w:t>
      </w:r>
    </w:p>
    <w:p>
      <w:pPr>
        <w:pStyle w:val="ListParagraph"/>
        <w:numPr>
          <w:ilvl w:val="0"/>
          <w:numId w:val="6"/>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Les secteurs affectés par bruit (cartes de type B) peuvent être mis à jour dans le cadre de la révision du classement sonore des voies ;</w:t>
      </w:r>
    </w:p>
    <w:p>
      <w:pPr>
        <w:pStyle w:val="ListParagraph"/>
        <w:numPr>
          <w:ilvl w:val="0"/>
          <w:numId w:val="6"/>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Les cartes de type D peuvent être établies localement, afin de prendre en compte une situation particulière.</w:t>
      </w:r>
    </w:p>
    <w:p>
      <w:pPr>
        <w:pStyle w:val="Normal"/>
        <w:suppressAutoHyphens w:val="true"/>
        <w:spacing w:lineRule="auto" w:line="276"/>
        <w:jc w:val="both"/>
        <w:textAlignment w:val="baseline"/>
        <w:rPr>
          <w:rFonts w:ascii="Arial" w:hAnsi="Arial" w:cs="Arial"/>
          <w:color w:val="484D7A"/>
          <w:sz w:val="22"/>
          <w:szCs w:val="22"/>
        </w:rPr>
      </w:pPr>
      <w:r>
        <w:rPr>
          <w:rFonts w:cs="Arial" w:ascii="Arial" w:hAnsi="Arial"/>
          <w:color w:val="484D7A"/>
          <w:sz w:val="22"/>
          <w:szCs w:val="22"/>
        </w:rPr>
      </w:r>
    </w:p>
    <w:p>
      <w:pPr>
        <w:pStyle w:val="Normal"/>
        <w:suppressAutoHyphens w:val="true"/>
        <w:spacing w:lineRule="auto" w:line="276"/>
        <w:jc w:val="both"/>
        <w:textAlignment w:val="baseline"/>
        <w:rPr>
          <w:rFonts w:ascii="Arial" w:hAnsi="Arial" w:cs="Arial"/>
          <w:color w:val="484D7A"/>
          <w:sz w:val="22"/>
          <w:szCs w:val="22"/>
        </w:rPr>
      </w:pPr>
      <w:r>
        <w:rPr>
          <w:rFonts w:cs="Arial" w:ascii="Arial" w:hAnsi="Arial"/>
          <w:color w:val="484D7A"/>
          <w:sz w:val="22"/>
          <w:szCs w:val="22"/>
        </w:rPr>
        <w:t xml:space="preserve">Exemples de cartes de type A, B et C : </w:t>
      </w:r>
    </w:p>
    <w:p>
      <w:pPr>
        <w:pStyle w:val="Normal"/>
        <w:suppressAutoHyphens w:val="true"/>
        <w:spacing w:lineRule="auto" w:line="276"/>
        <w:jc w:val="both"/>
        <w:textAlignment w:val="baseline"/>
        <w:rPr>
          <w:rFonts w:ascii="Arial" w:hAnsi="Arial" w:cs="Arial"/>
          <w:color w:val="484D7A"/>
          <w:sz w:val="22"/>
          <w:szCs w:val="22"/>
        </w:rPr>
      </w:pPr>
      <w:r>
        <w:rPr>
          <w:rFonts w:cs="Arial" w:ascii="Arial" w:hAnsi="Arial"/>
          <w:color w:val="484D7A"/>
          <w:sz w:val="22"/>
          <w:szCs w:val="22"/>
        </w:rPr>
      </w:r>
    </w:p>
    <w:tbl>
      <w:tblPr>
        <w:tblStyle w:val="Grilledutableau"/>
        <w:tblW w:w="1005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5026"/>
        <w:gridCol w:w="5026"/>
      </w:tblGrid>
      <w:tr>
        <w:trPr/>
        <w:tc>
          <w:tcPr>
            <w:tcW w:w="5026" w:type="dxa"/>
            <w:tcBorders>
              <w:top w:val="single" w:sz="4" w:space="0" w:color="484D7A"/>
              <w:left w:val="single" w:sz="4" w:space="0" w:color="484D7A"/>
              <w:bottom w:val="single" w:sz="4" w:space="0" w:color="484D7A"/>
              <w:right w:val="single" w:sz="4" w:space="0" w:color="484D7A"/>
            </w:tcBorders>
            <w:vAlign w:val="center"/>
          </w:tcPr>
          <w:p>
            <w:pPr>
              <w:pStyle w:val="Normal"/>
              <w:widowControl/>
              <w:suppressAutoHyphens w:val="true"/>
              <w:spacing w:lineRule="auto" w:line="276" w:before="0" w:after="0"/>
              <w:jc w:val="center"/>
              <w:textAlignment w:val="baseline"/>
              <w:rPr>
                <w:rFonts w:ascii="Arial" w:hAnsi="Arial" w:cs="Arial"/>
                <w:color w:val="484D7A"/>
                <w:sz w:val="22"/>
                <w:szCs w:val="22"/>
              </w:rPr>
            </w:pPr>
            <w:r>
              <w:rPr>
                <w:kern w:val="0"/>
                <w:sz w:val="24"/>
                <w:szCs w:val="24"/>
                <w:lang w:val="fr-FR" w:bidi="ar-SA"/>
              </w:rPr>
              <w:drawing>
                <wp:inline distT="0" distB="0" distL="0" distR="0">
                  <wp:extent cx="2520950" cy="3121025"/>
                  <wp:effectExtent l="0" t="0" r="0" b="0"/>
                  <wp:docPr id="24"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36" descr=""/>
                          <pic:cNvPicPr>
                            <a:picLocks noChangeAspect="1" noChangeArrowheads="1"/>
                          </pic:cNvPicPr>
                        </pic:nvPicPr>
                        <pic:blipFill>
                          <a:blip r:embed="rId11"/>
                          <a:stretch>
                            <a:fillRect/>
                          </a:stretch>
                        </pic:blipFill>
                        <pic:spPr bwMode="auto">
                          <a:xfrm>
                            <a:off x="0" y="0"/>
                            <a:ext cx="2520950" cy="3121025"/>
                          </a:xfrm>
                          <a:prstGeom prst="rect">
                            <a:avLst/>
                          </a:prstGeom>
                        </pic:spPr>
                      </pic:pic>
                    </a:graphicData>
                  </a:graphic>
                </wp:inline>
              </w:drawing>
            </w:r>
          </w:p>
        </w:tc>
        <w:tc>
          <w:tcPr>
            <w:tcW w:w="5026" w:type="dxa"/>
            <w:tcBorders>
              <w:top w:val="single" w:sz="4" w:space="0" w:color="484D7A"/>
              <w:left w:val="single" w:sz="4" w:space="0" w:color="484D7A"/>
              <w:bottom w:val="single" w:sz="4" w:space="0" w:color="484D7A"/>
              <w:right w:val="single" w:sz="4" w:space="0" w:color="484D7A"/>
            </w:tcBorders>
            <w:vAlign w:val="center"/>
          </w:tcPr>
          <w:p>
            <w:pPr>
              <w:pStyle w:val="Normal"/>
              <w:widowControl/>
              <w:suppressAutoHyphens w:val="true"/>
              <w:spacing w:lineRule="auto" w:line="276" w:before="0" w:after="0"/>
              <w:jc w:val="center"/>
              <w:textAlignment w:val="baseline"/>
              <w:rPr>
                <w:rFonts w:ascii="Arial" w:hAnsi="Arial" w:cs="Arial"/>
                <w:color w:val="484D7A"/>
                <w:sz w:val="22"/>
                <w:szCs w:val="22"/>
              </w:rPr>
            </w:pPr>
            <w:r>
              <w:rPr>
                <w:kern w:val="0"/>
                <w:sz w:val="24"/>
                <w:szCs w:val="24"/>
                <w:lang w:val="fr-FR" w:bidi="ar-SA"/>
              </w:rPr>
              <w:drawing>
                <wp:inline distT="0" distB="0" distL="0" distR="0">
                  <wp:extent cx="2515870" cy="3119120"/>
                  <wp:effectExtent l="0" t="0" r="0" b="0"/>
                  <wp:docPr id="25"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37" descr=""/>
                          <pic:cNvPicPr>
                            <a:picLocks noChangeAspect="1" noChangeArrowheads="1"/>
                          </pic:cNvPicPr>
                        </pic:nvPicPr>
                        <pic:blipFill>
                          <a:blip r:embed="rId12"/>
                          <a:stretch>
                            <a:fillRect/>
                          </a:stretch>
                        </pic:blipFill>
                        <pic:spPr bwMode="auto">
                          <a:xfrm>
                            <a:off x="0" y="0"/>
                            <a:ext cx="2515870" cy="3119120"/>
                          </a:xfrm>
                          <a:prstGeom prst="rect">
                            <a:avLst/>
                          </a:prstGeom>
                        </pic:spPr>
                      </pic:pic>
                    </a:graphicData>
                  </a:graphic>
                </wp:inline>
              </w:drawing>
            </w:r>
          </w:p>
        </w:tc>
      </w:tr>
      <w:tr>
        <w:trPr/>
        <w:tc>
          <w:tcPr>
            <w:tcW w:w="5026" w:type="dxa"/>
            <w:tcBorders>
              <w:top w:val="single" w:sz="4" w:space="0" w:color="484D7A"/>
              <w:left w:val="single" w:sz="4" w:space="0" w:color="484D7A"/>
              <w:bottom w:val="single" w:sz="4" w:space="0" w:color="484D7A"/>
              <w:right w:val="single" w:sz="4" w:space="0" w:color="484D7A"/>
            </w:tcBorders>
            <w:vAlign w:val="center"/>
          </w:tcPr>
          <w:p>
            <w:pPr>
              <w:pStyle w:val="Normal"/>
              <w:widowControl/>
              <w:suppressAutoHyphens w:val="true"/>
              <w:spacing w:lineRule="auto" w:line="276" w:before="0" w:after="0"/>
              <w:jc w:val="center"/>
              <w:textAlignment w:val="baseline"/>
              <w:rPr>
                <w:rFonts w:ascii="Arial" w:hAnsi="Arial" w:cs="Arial"/>
                <w:color w:val="484D7A"/>
                <w:sz w:val="22"/>
                <w:szCs w:val="22"/>
              </w:rPr>
            </w:pPr>
            <w:r>
              <w:rPr>
                <w:kern w:val="0"/>
                <w:sz w:val="24"/>
                <w:szCs w:val="24"/>
                <w:lang w:val="fr-FR" w:bidi="ar-SA"/>
              </w:rPr>
              <w:drawing>
                <wp:inline distT="0" distB="0" distL="0" distR="0">
                  <wp:extent cx="2479040" cy="3051810"/>
                  <wp:effectExtent l="0" t="0" r="0" b="0"/>
                  <wp:docPr id="26"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38" descr=""/>
                          <pic:cNvPicPr>
                            <a:picLocks noChangeAspect="1" noChangeArrowheads="1"/>
                          </pic:cNvPicPr>
                        </pic:nvPicPr>
                        <pic:blipFill>
                          <a:blip r:embed="rId13"/>
                          <a:stretch>
                            <a:fillRect/>
                          </a:stretch>
                        </pic:blipFill>
                        <pic:spPr bwMode="auto">
                          <a:xfrm>
                            <a:off x="0" y="0"/>
                            <a:ext cx="2479040" cy="3051810"/>
                          </a:xfrm>
                          <a:prstGeom prst="rect">
                            <a:avLst/>
                          </a:prstGeom>
                        </pic:spPr>
                      </pic:pic>
                    </a:graphicData>
                  </a:graphic>
                </wp:inline>
              </w:drawing>
            </w:r>
          </w:p>
        </w:tc>
        <w:tc>
          <w:tcPr>
            <w:tcW w:w="5026" w:type="dxa"/>
            <w:tcBorders>
              <w:top w:val="single" w:sz="4" w:space="0" w:color="484D7A"/>
              <w:left w:val="single" w:sz="4" w:space="0" w:color="484D7A"/>
              <w:bottom w:val="single" w:sz="4" w:space="0" w:color="484D7A"/>
              <w:right w:val="single" w:sz="4" w:space="0" w:color="484D7A"/>
            </w:tcBorders>
          </w:tcPr>
          <w:p>
            <w:pPr>
              <w:pStyle w:val="Normal"/>
              <w:widowControl/>
              <w:suppressAutoHyphens w:val="true"/>
              <w:spacing w:lineRule="auto" w:line="276" w:before="0" w:after="0"/>
              <w:jc w:val="left"/>
              <w:textAlignment w:val="baseline"/>
              <w:rPr>
                <w:rFonts w:ascii="Arial" w:hAnsi="Arial" w:cs="Arial"/>
                <w:color w:val="484D7A"/>
                <w:sz w:val="22"/>
                <w:szCs w:val="22"/>
              </w:rPr>
            </w:pPr>
            <w:r>
              <w:rPr>
                <w:rFonts w:cs="Arial" w:ascii="Arial" w:hAnsi="Arial"/>
                <w:color w:val="484D7A"/>
                <w:kern w:val="0"/>
                <w:sz w:val="24"/>
                <w:szCs w:val="24"/>
                <w:lang w:val="fr-FR" w:bidi="ar-SA"/>
              </w:rPr>
            </w:r>
          </w:p>
          <w:p>
            <w:pPr>
              <w:pStyle w:val="Normal"/>
              <w:widowControl/>
              <w:suppressAutoHyphens w:val="true"/>
              <w:spacing w:lineRule="auto" w:line="276" w:before="0" w:after="0"/>
              <w:jc w:val="left"/>
              <w:textAlignment w:val="baseline"/>
              <w:rPr>
                <w:rFonts w:ascii="Arial" w:hAnsi="Arial" w:cs="Arial"/>
                <w:color w:val="484D7A"/>
                <w:sz w:val="22"/>
                <w:szCs w:val="22"/>
              </w:rPr>
            </w:pPr>
            <w:r>
              <w:rPr>
                <w:rFonts w:cs="Arial" w:ascii="Arial" w:hAnsi="Arial"/>
                <w:color w:val="484D7A"/>
                <w:kern w:val="0"/>
                <w:sz w:val="24"/>
                <w:szCs w:val="24"/>
                <w:lang w:val="fr-FR" w:bidi="ar-SA"/>
              </w:rPr>
            </w:r>
          </w:p>
          <w:p>
            <w:pPr>
              <w:pStyle w:val="Normal"/>
              <w:widowControl/>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kern w:val="0"/>
                <w:sz w:val="22"/>
                <w:szCs w:val="22"/>
                <w:lang w:val="fr-FR" w:bidi="ar-SA"/>
              </w:rPr>
              <w:t>La représentation des cartes de bruit stratégiques est encadrée par la norme française NF S 31-130.</w:t>
            </w:r>
          </w:p>
          <w:p>
            <w:pPr>
              <w:pStyle w:val="Normal"/>
              <w:widowControl/>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kern w:val="0"/>
                <w:sz w:val="24"/>
                <w:szCs w:val="24"/>
                <w:lang w:val="fr-FR" w:bidi="ar-SA"/>
              </w:rPr>
            </w:r>
          </w:p>
          <w:p>
            <w:pPr>
              <w:pStyle w:val="Normal"/>
              <w:widowControl/>
              <w:suppressAutoHyphens w:val="true"/>
              <w:spacing w:lineRule="auto" w:line="276" w:before="0" w:after="0"/>
              <w:jc w:val="left"/>
              <w:textAlignment w:val="baseline"/>
              <w:rPr>
                <w:rFonts w:ascii="Arial" w:hAnsi="Arial" w:cs="Arial"/>
                <w:color w:val="484D7A"/>
                <w:sz w:val="22"/>
                <w:szCs w:val="22"/>
              </w:rPr>
            </w:pPr>
            <w:r>
              <w:rPr>
                <w:rFonts w:cs="Arial" w:ascii="Arial" w:hAnsi="Arial"/>
                <w:color w:val="484D7A"/>
                <w:kern w:val="0"/>
                <w:sz w:val="22"/>
                <w:szCs w:val="22"/>
                <w:lang w:val="fr-FR" w:bidi="ar-SA"/>
              </w:rPr>
              <w:t>Dans la partie supérieure gauche, une carte de bruit stratégique de type A.</w:t>
            </w:r>
          </w:p>
          <w:p>
            <w:pPr>
              <w:pStyle w:val="Normal"/>
              <w:widowControl/>
              <w:suppressAutoHyphens w:val="true"/>
              <w:spacing w:lineRule="auto" w:line="276" w:before="0" w:after="0"/>
              <w:jc w:val="left"/>
              <w:textAlignment w:val="baseline"/>
              <w:rPr>
                <w:rFonts w:ascii="Arial" w:hAnsi="Arial" w:cs="Arial"/>
                <w:color w:val="484D7A"/>
                <w:sz w:val="22"/>
                <w:szCs w:val="22"/>
              </w:rPr>
            </w:pPr>
            <w:r>
              <w:rPr>
                <w:rFonts w:cs="Arial" w:ascii="Arial" w:hAnsi="Arial"/>
                <w:color w:val="484D7A"/>
                <w:kern w:val="0"/>
                <w:sz w:val="24"/>
                <w:szCs w:val="24"/>
                <w:lang w:val="fr-FR" w:bidi="ar-SA"/>
              </w:rPr>
            </w:r>
          </w:p>
          <w:p>
            <w:pPr>
              <w:pStyle w:val="Normal"/>
              <w:widowControl/>
              <w:suppressAutoHyphens w:val="true"/>
              <w:spacing w:lineRule="auto" w:line="276" w:before="0" w:after="0"/>
              <w:jc w:val="left"/>
              <w:textAlignment w:val="baseline"/>
              <w:rPr>
                <w:rFonts w:ascii="Arial" w:hAnsi="Arial" w:cs="Arial"/>
                <w:color w:val="484D7A"/>
                <w:sz w:val="22"/>
                <w:szCs w:val="22"/>
              </w:rPr>
            </w:pPr>
            <w:r>
              <w:rPr>
                <w:rFonts w:cs="Arial" w:ascii="Arial" w:hAnsi="Arial"/>
                <w:color w:val="484D7A"/>
                <w:kern w:val="0"/>
                <w:sz w:val="22"/>
                <w:szCs w:val="22"/>
                <w:lang w:val="fr-FR" w:bidi="ar-SA"/>
              </w:rPr>
              <w:t>Dans la partie supérieure droite, une carte de bruit stratégique de type B.</w:t>
            </w:r>
          </w:p>
          <w:p>
            <w:pPr>
              <w:pStyle w:val="Normal"/>
              <w:widowControl/>
              <w:suppressAutoHyphens w:val="true"/>
              <w:spacing w:lineRule="auto" w:line="276" w:before="0" w:after="0"/>
              <w:jc w:val="left"/>
              <w:textAlignment w:val="baseline"/>
              <w:rPr>
                <w:rFonts w:ascii="Arial" w:hAnsi="Arial" w:cs="Arial"/>
                <w:color w:val="484D7A"/>
                <w:sz w:val="22"/>
                <w:szCs w:val="22"/>
              </w:rPr>
            </w:pPr>
            <w:r>
              <w:rPr>
                <w:rFonts w:cs="Arial" w:ascii="Arial" w:hAnsi="Arial"/>
                <w:color w:val="484D7A"/>
                <w:kern w:val="0"/>
                <w:sz w:val="24"/>
                <w:szCs w:val="24"/>
                <w:lang w:val="fr-FR" w:bidi="ar-SA"/>
              </w:rPr>
            </w:r>
          </w:p>
          <w:p>
            <w:pPr>
              <w:pStyle w:val="Normal"/>
              <w:widowControl/>
              <w:suppressAutoHyphens w:val="true"/>
              <w:spacing w:lineRule="auto" w:line="276" w:before="0" w:after="0"/>
              <w:jc w:val="left"/>
              <w:textAlignment w:val="baseline"/>
              <w:rPr>
                <w:rFonts w:ascii="Arial" w:hAnsi="Arial" w:cs="Arial"/>
                <w:color w:val="484D7A"/>
                <w:sz w:val="22"/>
                <w:szCs w:val="22"/>
              </w:rPr>
            </w:pPr>
            <w:r>
              <w:rPr>
                <w:rFonts w:cs="Arial" w:ascii="Arial" w:hAnsi="Arial"/>
                <w:color w:val="484D7A"/>
                <w:kern w:val="0"/>
                <w:sz w:val="22"/>
                <w:szCs w:val="22"/>
                <w:lang w:val="fr-FR" w:bidi="ar-SA"/>
              </w:rPr>
              <w:t>Dans la partie inférieure gauche, une carte de bruit stratégique de type C.</w:t>
            </w:r>
          </w:p>
        </w:tc>
      </w:tr>
    </w:tbl>
    <w:p>
      <w:pPr>
        <w:pStyle w:val="Standard"/>
        <w:rPr>
          <w:sz w:val="22"/>
          <w:szCs w:val="22"/>
        </w:rPr>
      </w:pPr>
      <w:r>
        <w:rPr>
          <w:sz w:val="22"/>
          <w:szCs w:val="22"/>
        </w:rPr>
      </w:r>
    </w:p>
    <w:p>
      <w:pPr>
        <w:pStyle w:val="Standard"/>
        <w:rPr>
          <w:sz w:val="22"/>
          <w:szCs w:val="22"/>
        </w:rPr>
      </w:pPr>
      <w:r>
        <w:rPr>
          <w:sz w:val="22"/>
          <w:szCs w:val="22"/>
        </w:rPr>
      </w:r>
    </w:p>
    <w:p>
      <w:pPr>
        <w:pStyle w:val="Titre2"/>
        <w:numPr>
          <w:ilvl w:val="1"/>
          <w:numId w:val="2"/>
        </w:numPr>
        <w:jc w:val="both"/>
        <w:rPr>
          <w:rFonts w:ascii="Arial" w:hAnsi="Arial" w:cs="Arial"/>
          <w:color w:val="484D7A"/>
        </w:rPr>
      </w:pPr>
      <w:bookmarkStart w:id="9" w:name="_Toc102381434"/>
      <w:r>
        <w:rPr>
          <w:rFonts w:cs="Arial" w:ascii="Arial" w:hAnsi="Arial"/>
          <w:color w:val="484D7A"/>
        </w:rPr>
        <w:t>Objectifs du présent document</w:t>
      </w:r>
      <w:bookmarkEnd w:id="9"/>
    </w:p>
    <w:p>
      <w:pPr>
        <w:pStyle w:val="Normal"/>
        <w:rPr/>
      </w:pPr>
      <w:r>
        <w:rPr/>
      </w:r>
    </w:p>
    <w:p>
      <w:pPr>
        <w:pStyle w:val="Standard"/>
        <w:rPr>
          <w:sz w:val="22"/>
          <w:szCs w:val="22"/>
        </w:rPr>
      </w:pPr>
      <w:r>
        <w:rPr>
          <w:sz w:val="22"/>
          <w:szCs w:val="22"/>
        </w:rPr>
        <w:t>Le résumé non technique, établi pour chaque CBS, a pour but de décrire la méthodologie d’établissement des CBS dans le cadre de la 4</w:t>
      </w:r>
      <w:r>
        <w:rPr>
          <w:sz w:val="22"/>
          <w:szCs w:val="22"/>
          <w:vertAlign w:val="superscript"/>
        </w:rPr>
        <w:t>e</w:t>
      </w:r>
      <w:r>
        <w:rPr>
          <w:sz w:val="22"/>
          <w:szCs w:val="22"/>
        </w:rPr>
        <w:t xml:space="preserve"> échéance et de présenter les résultats de la modélisation : les CBS et les données d’exposition des populations du périmètre associé.</w:t>
      </w:r>
      <w:r>
        <w:br w:type="page"/>
      </w:r>
    </w:p>
    <w:p>
      <w:pPr>
        <w:pStyle w:val="Titre1"/>
        <w:numPr>
          <w:ilvl w:val="0"/>
          <w:numId w:val="2"/>
        </w:numPr>
        <w:rPr>
          <w:rFonts w:ascii="Arial" w:hAnsi="Arial" w:cs="Arial"/>
          <w:b/>
          <w:b/>
          <w:bCs/>
          <w:color w:val="484D7A"/>
          <w:sz w:val="28"/>
          <w:szCs w:val="28"/>
        </w:rPr>
      </w:pPr>
      <w:bookmarkStart w:id="10" w:name="_Toc102381435"/>
      <w:r>
        <w:rPr>
          <w:rFonts w:cs="Arial" w:ascii="Arial" w:hAnsi="Arial"/>
          <w:b/>
          <w:bCs/>
          <w:color w:val="484D7A"/>
          <w:sz w:val="28"/>
          <w:szCs w:val="28"/>
        </w:rPr>
        <w:t>Comprendre les cartes de bruit stratégiques</w:t>
      </w:r>
      <w:bookmarkEnd w:id="10"/>
    </w:p>
    <w:p>
      <w:pPr>
        <w:pStyle w:val="Normal"/>
        <w:rPr/>
      </w:pPr>
      <w:r>
        <w:rPr/>
      </w:r>
    </w:p>
    <w:p>
      <w:pPr>
        <w:pStyle w:val="Titre2"/>
        <w:numPr>
          <w:ilvl w:val="1"/>
          <w:numId w:val="2"/>
        </w:numPr>
        <w:jc w:val="both"/>
        <w:rPr>
          <w:rFonts w:ascii="Arial" w:hAnsi="Arial" w:cs="Arial"/>
          <w:color w:val="484D7A"/>
        </w:rPr>
      </w:pPr>
      <w:bookmarkStart w:id="11" w:name="_Toc102381436"/>
      <w:r>
        <w:rPr>
          <w:rFonts w:cs="Arial" w:ascii="Arial" w:hAnsi="Arial"/>
          <w:color w:val="484D7A"/>
        </w:rPr>
        <w:t>Éléments théoriques sur le bruit</w:t>
      </w:r>
      <w:bookmarkEnd w:id="11"/>
    </w:p>
    <w:p>
      <w:pPr>
        <w:pStyle w:val="Normal"/>
        <w:jc w:val="both"/>
        <w:rPr>
          <w:rFonts w:ascii="Arial" w:hAnsi="Arial" w:cs="Arial"/>
          <w:color w:val="484D7A"/>
          <w:sz w:val="22"/>
          <w:szCs w:val="22"/>
        </w:rPr>
      </w:pPr>
      <w:r>
        <w:rPr>
          <w:rFonts w:cs="Arial" w:ascii="Arial" w:hAnsi="Arial"/>
          <w:color w:val="484D7A"/>
          <w:sz w:val="22"/>
          <w:szCs w:val="22"/>
        </w:rPr>
      </w:r>
    </w:p>
    <w:p>
      <w:pPr>
        <w:pStyle w:val="Standard"/>
        <w:rPr>
          <w:sz w:val="22"/>
          <w:szCs w:val="22"/>
        </w:rPr>
      </w:pPr>
      <w:r>
        <w:rPr>
          <w:sz w:val="22"/>
          <w:szCs w:val="22"/>
        </w:rPr>
        <w:t>Dans les milieux environnants tels que l’air, l’eau ou le sol, la mise en vibration de molécules d’air engendre une variation de pression qui se propage sous forme d’onde : c’est le son.</w:t>
      </w:r>
    </w:p>
    <w:p>
      <w:pPr>
        <w:pStyle w:val="Standard"/>
        <w:rPr>
          <w:sz w:val="22"/>
          <w:szCs w:val="22"/>
        </w:rPr>
      </w:pPr>
      <w:r>
        <w:rPr>
          <w:sz w:val="22"/>
          <w:szCs w:val="22"/>
        </w:rPr>
      </w:r>
    </w:p>
    <w:p>
      <w:pPr>
        <w:pStyle w:val="Standard"/>
        <w:rPr>
          <w:sz w:val="22"/>
          <w:szCs w:val="22"/>
        </w:rPr>
      </w:pPr>
      <w:r>
        <w:rPr>
          <w:sz w:val="22"/>
          <w:szCs w:val="22"/>
        </w:rPr>
        <w:t>Le son est défini par trois caractéristiques :</w:t>
      </w:r>
    </w:p>
    <w:p>
      <w:pPr>
        <w:pStyle w:val="ListParagraph"/>
        <w:numPr>
          <w:ilvl w:val="0"/>
          <w:numId w:val="8"/>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La fréquence : nombre de vibrations par seconde de l’onde, elle est exprimée en Hertz. Une fréquence élevée donnera lieu à un son aigu alors qu’une fréquence faible à un son grave. L’oreille humaine est capable d’entendre les sons dont la fréquence se situe entre 20 Hz et 20 000 Hz.</w:t>
      </w:r>
    </w:p>
    <w:p>
      <w:pPr>
        <w:pStyle w:val="ListParagraph"/>
        <w:numPr>
          <w:ilvl w:val="0"/>
          <w:numId w:val="7"/>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Le niveau sonore : amplitude du son, il est exprimé en décibel (dB). L’oreille humaine perçoit les sons à partir de 0 dB et jusqu’à 120 dB, qui correspond au seuil de douleur.</w:t>
      </w:r>
    </w:p>
    <w:p>
      <w:pPr>
        <w:pStyle w:val="ListParagraph"/>
        <w:numPr>
          <w:ilvl w:val="0"/>
          <w:numId w:val="7"/>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La durée : temps d’exposition de l’oreille au son.</w:t>
      </w:r>
    </w:p>
    <w:p>
      <w:pPr>
        <w:pStyle w:val="Normal"/>
        <w:suppressAutoHyphens w:val="true"/>
        <w:spacing w:lineRule="auto" w:line="276"/>
        <w:jc w:val="both"/>
        <w:textAlignment w:val="baseline"/>
        <w:rPr>
          <w:rFonts w:ascii="Arial" w:hAnsi="Arial" w:cs="Arial"/>
          <w:color w:val="484D7A"/>
          <w:sz w:val="22"/>
          <w:szCs w:val="22"/>
        </w:rPr>
      </w:pPr>
      <w:r>
        <w:rPr>
          <w:rFonts w:cs="Arial" w:ascii="Arial" w:hAnsi="Arial"/>
          <w:color w:val="484D7A"/>
          <w:sz w:val="22"/>
          <w:szCs w:val="22"/>
        </w:rPr>
      </w:r>
    </w:p>
    <w:p>
      <w:pPr>
        <w:pStyle w:val="Standard"/>
        <w:rPr>
          <w:sz w:val="22"/>
          <w:szCs w:val="22"/>
        </w:rPr>
      </w:pPr>
      <w:r>
        <w:rPr>
          <w:sz w:val="22"/>
          <w:szCs w:val="22"/>
        </w:rPr>
        <w:t>Bien que l’oreille humaine perçoive les sons entre 20 et 20 000 Hz, elle reste plus sensible aux fréquences comprises entre 500 et 6 000 Hz. Cette sensibilité est prise en compte dans la réglementation au travers de la pondération A, qui permet de se rapprocher de la perception du son par l’oreille humaine. Les résultats de mesure ou d’estimation de niveaux de bruit sont donc exprimés en dB(A).</w:t>
      </w:r>
    </w:p>
    <w:p>
      <w:pPr>
        <w:pStyle w:val="Standard"/>
        <w:rPr/>
      </w:pPr>
      <w:r>
        <w:rPr/>
      </w:r>
    </w:p>
    <w:p>
      <w:pPr>
        <w:pStyle w:val="Standard"/>
        <w:rPr>
          <w:sz w:val="22"/>
          <w:szCs w:val="22"/>
        </w:rPr>
      </w:pPr>
      <w:r>
        <w:rPr>
          <w:sz w:val="22"/>
          <w:szCs w:val="22"/>
        </w:rPr>
        <w:t>Le bruit correspond à un ensemble de sons dont les fréquences et niveaux sonores sont différents. Perçu généralement de manière négative, le bruit possède de nombreuses sources, qui pour certaines représentent un danger dans le cas d’une exposition trop forte ou sur la durée.</w:t>
      </w:r>
    </w:p>
    <w:p>
      <w:pPr>
        <w:pStyle w:val="Standard"/>
        <w:rPr>
          <w:sz w:val="22"/>
          <w:szCs w:val="22"/>
        </w:rPr>
      </w:pPr>
      <w:r>
        <w:rPr>
          <w:sz w:val="22"/>
          <w:szCs w:val="22"/>
        </w:rPr>
      </w:r>
    </w:p>
    <w:p>
      <w:pPr>
        <w:pStyle w:val="Standard"/>
        <w:jc w:val="center"/>
        <w:rPr/>
      </w:pPr>
      <w:r>
        <w:rPr/>
        <w:drawing>
          <wp:inline distT="0" distB="0" distL="0" distR="0">
            <wp:extent cx="4804410" cy="3136265"/>
            <wp:effectExtent l="0" t="0" r="0" b="0"/>
            <wp:docPr id="27" name="Image 10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1035" descr=""/>
                    <pic:cNvPicPr>
                      <a:picLocks noChangeAspect="1" noChangeArrowheads="1"/>
                    </pic:cNvPicPr>
                  </pic:nvPicPr>
                  <pic:blipFill>
                    <a:blip r:embed="rId14"/>
                    <a:stretch>
                      <a:fillRect/>
                    </a:stretch>
                  </pic:blipFill>
                  <pic:spPr bwMode="auto">
                    <a:xfrm>
                      <a:off x="0" y="0"/>
                      <a:ext cx="4804410" cy="3136265"/>
                    </a:xfrm>
                    <a:prstGeom prst="rect">
                      <a:avLst/>
                    </a:prstGeom>
                  </pic:spPr>
                </pic:pic>
              </a:graphicData>
            </a:graphic>
          </wp:inline>
        </w:drawing>
      </w:r>
    </w:p>
    <w:p>
      <w:pPr>
        <w:pStyle w:val="Standard"/>
        <w:rPr/>
      </w:pPr>
      <w:r>
        <w:rPr/>
      </w:r>
    </w:p>
    <w:p>
      <w:pPr>
        <w:pStyle w:val="Standard"/>
        <w:rPr>
          <w:sz w:val="22"/>
          <w:szCs w:val="22"/>
        </w:rPr>
      </w:pPr>
      <w:r>
        <w:rPr>
          <w:sz w:val="22"/>
          <w:szCs w:val="22"/>
        </w:rPr>
        <w:t>Publiées en 2018, des informations statistiques provenant des Lignes directrices de l’Organisation Mondiale de la Santé (OMS) sur le bruit dans l’environnement mettent en avant les relations dose-effet des effets nuisibles de l’exposition au bruit dans l’environnement. L’annexe III de la Directive Bruit 2002/49/CE introduit une méthode de quantification des personnes exposées à trois de ces effets nuisibles : la cardiopathie ischémique (correspondant aux codes BA40 à BA6Z de la classification internationale ICD-11 de l’OMS), la forte gêne et les fortes perturbations du sommeil.</w:t>
      </w:r>
    </w:p>
    <w:p>
      <w:pPr>
        <w:pStyle w:val="Normal"/>
        <w:rPr>
          <w:rFonts w:ascii="Arial" w:hAnsi="Arial" w:cs="Arial"/>
          <w:color w:val="484D7A"/>
          <w:sz w:val="22"/>
          <w:szCs w:val="22"/>
        </w:rPr>
      </w:pPr>
      <w:r>
        <w:rPr>
          <w:rFonts w:cs="Arial" w:ascii="Arial" w:hAnsi="Arial"/>
          <w:color w:val="484D7A"/>
          <w:sz w:val="22"/>
          <w:szCs w:val="22"/>
        </w:rPr>
      </w:r>
      <w:r>
        <w:br w:type="page"/>
      </w:r>
    </w:p>
    <w:p>
      <w:pPr>
        <w:pStyle w:val="Titre2"/>
        <w:numPr>
          <w:ilvl w:val="1"/>
          <w:numId w:val="2"/>
        </w:numPr>
        <w:jc w:val="both"/>
        <w:rPr>
          <w:rFonts w:ascii="Arial" w:hAnsi="Arial" w:cs="Arial"/>
          <w:color w:val="484D7A"/>
        </w:rPr>
      </w:pPr>
      <w:bookmarkStart w:id="12" w:name="_Toc102381437"/>
      <w:r>
        <w:rPr>
          <w:rFonts w:cs="Arial" w:ascii="Arial" w:hAnsi="Arial"/>
          <w:color w:val="484D7A"/>
        </w:rPr>
        <w:t>Les indicateurs du bruit</w:t>
      </w:r>
      <w:bookmarkEnd w:id="12"/>
    </w:p>
    <w:p>
      <w:pPr>
        <w:pStyle w:val="Normal"/>
        <w:rPr/>
      </w:pPr>
      <w:r>
        <w:rPr/>
      </w:r>
    </w:p>
    <w:p>
      <w:pPr>
        <w:pStyle w:val="Normal"/>
        <w:jc w:val="both"/>
        <w:rPr>
          <w:rFonts w:ascii="Arial" w:hAnsi="Arial" w:cs="Arial"/>
          <w:color w:val="484D7A"/>
          <w:sz w:val="22"/>
          <w:szCs w:val="22"/>
        </w:rPr>
      </w:pPr>
      <w:r>
        <w:rPr>
          <w:rFonts w:cs="Arial" w:ascii="Arial" w:hAnsi="Arial"/>
          <w:color w:val="484D7A"/>
          <w:sz w:val="22"/>
          <w:szCs w:val="22"/>
        </w:rPr>
        <w:t xml:space="preserve">La Directive Bruit 2002/49/CE définit deux indicateurs communs du niveau sonore : </w:t>
      </w:r>
    </w:p>
    <w:p>
      <w:pPr>
        <w:pStyle w:val="ListParagraph"/>
        <w:numPr>
          <w:ilvl w:val="0"/>
          <w:numId w:val="7"/>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w:t>
      </w:r>
      <w:r>
        <w:rPr>
          <w:rFonts w:cs="Arial" w:ascii="Arial" w:hAnsi="Arial"/>
          <w:color w:val="484D7A"/>
          <w:sz w:val="22"/>
          <w:szCs w:val="22"/>
          <w:vertAlign w:val="subscript"/>
        </w:rPr>
        <w:t>den</w:t>
      </w:r>
      <w:r>
        <w:rPr>
          <w:rFonts w:cs="Arial" w:ascii="Arial" w:hAnsi="Arial"/>
          <w:color w:val="484D7A"/>
          <w:sz w:val="22"/>
          <w:szCs w:val="22"/>
        </w:rPr>
        <w:t xml:space="preserve"> (acronyme de </w:t>
      </w:r>
      <w:r>
        <w:rPr>
          <w:rFonts w:cs="Arial" w:ascii="Arial" w:hAnsi="Arial"/>
          <w:i/>
          <w:iCs/>
          <w:color w:val="484D7A"/>
          <w:sz w:val="22"/>
          <w:szCs w:val="22"/>
        </w:rPr>
        <w:t>Level day-evening-night</w:t>
      </w:r>
      <w:r>
        <w:rPr>
          <w:rFonts w:cs="Arial" w:ascii="Arial" w:hAnsi="Arial"/>
          <w:color w:val="484D7A"/>
          <w:sz w:val="22"/>
          <w:szCs w:val="22"/>
        </w:rPr>
        <w:t>) pour évaluer l’exposition au bruit moyenne perçue en une journée ;</w:t>
      </w:r>
    </w:p>
    <w:p>
      <w:pPr>
        <w:pStyle w:val="ListParagraph"/>
        <w:numPr>
          <w:ilvl w:val="0"/>
          <w:numId w:val="7"/>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w:t>
      </w:r>
      <w:r>
        <w:rPr>
          <w:rFonts w:cs="Arial" w:ascii="Arial" w:hAnsi="Arial"/>
          <w:color w:val="484D7A"/>
          <w:sz w:val="22"/>
          <w:szCs w:val="22"/>
          <w:vertAlign w:val="subscript"/>
        </w:rPr>
        <w:t>night</w:t>
      </w:r>
      <w:r>
        <w:rPr>
          <w:rFonts w:cs="Arial" w:ascii="Arial" w:hAnsi="Arial"/>
          <w:color w:val="484D7A"/>
          <w:sz w:val="22"/>
          <w:szCs w:val="22"/>
        </w:rPr>
        <w:t xml:space="preserve"> pour évaluer l’exposition au bruit moyenne perçue pendant la nuit.</w:t>
      </w:r>
    </w:p>
    <w:p>
      <w:pPr>
        <w:pStyle w:val="Normal"/>
        <w:jc w:val="both"/>
        <w:rPr>
          <w:rFonts w:ascii="Arial" w:hAnsi="Arial" w:cs="Arial"/>
          <w:color w:val="484D7A"/>
          <w:sz w:val="22"/>
          <w:szCs w:val="22"/>
        </w:rPr>
      </w:pPr>
      <w:r>
        <w:rPr>
          <w:rFonts w:cs="Arial" w:ascii="Arial" w:hAnsi="Arial"/>
          <w:color w:val="484D7A"/>
          <w:sz w:val="22"/>
          <w:szCs w:val="22"/>
        </w:rPr>
      </w:r>
    </w:p>
    <w:p>
      <w:pPr>
        <w:pStyle w:val="Standard"/>
        <w:rPr>
          <w:sz w:val="22"/>
          <w:szCs w:val="22"/>
        </w:rPr>
      </w:pPr>
      <w:r>
        <w:rPr>
          <w:sz w:val="22"/>
          <w:szCs w:val="22"/>
        </w:rPr>
        <w:t>L’indicateur L</w:t>
      </w:r>
      <w:r>
        <w:rPr>
          <w:sz w:val="22"/>
          <w:szCs w:val="22"/>
          <w:vertAlign w:val="subscript"/>
        </w:rPr>
        <w:t>den</w:t>
      </w:r>
      <w:r>
        <w:rPr>
          <w:sz w:val="22"/>
          <w:szCs w:val="22"/>
        </w:rPr>
        <w:t xml:space="preserve"> est calculé à partir des indicateurs L</w:t>
      </w:r>
      <w:r>
        <w:rPr>
          <w:sz w:val="22"/>
          <w:szCs w:val="22"/>
          <w:vertAlign w:val="subscript"/>
        </w:rPr>
        <w:t>day</w:t>
      </w:r>
      <w:r>
        <w:rPr>
          <w:sz w:val="22"/>
          <w:szCs w:val="22"/>
        </w:rPr>
        <w:t>, L</w:t>
      </w:r>
      <w:r>
        <w:rPr>
          <w:sz w:val="22"/>
          <w:szCs w:val="22"/>
          <w:vertAlign w:val="subscript"/>
        </w:rPr>
        <w:t>evening</w:t>
      </w:r>
      <w:r>
        <w:rPr>
          <w:sz w:val="22"/>
          <w:szCs w:val="22"/>
        </w:rPr>
        <w:t xml:space="preserve"> et L</w:t>
      </w:r>
      <w:r>
        <w:rPr>
          <w:sz w:val="22"/>
          <w:szCs w:val="22"/>
          <w:vertAlign w:val="subscript"/>
        </w:rPr>
        <w:t xml:space="preserve">night </w:t>
      </w:r>
      <w:r>
        <w:rPr>
          <w:sz w:val="22"/>
          <w:szCs w:val="22"/>
        </w:rPr>
        <w:t>qui sont respectivement les indicateurs de bruit associés à la gêne en période diurne, en soirée et de perturbation du sommeil.</w:t>
      </w:r>
    </w:p>
    <w:p>
      <w:pPr>
        <w:pStyle w:val="Normal"/>
        <w:jc w:val="both"/>
        <w:rPr>
          <w:rFonts w:ascii="Arial" w:hAnsi="Arial" w:cs="Arial"/>
          <w:color w:val="484D7A"/>
          <w:sz w:val="22"/>
          <w:szCs w:val="22"/>
        </w:rPr>
      </w:pPr>
      <w:r>
        <w:rPr>
          <w:rFonts w:cs="Arial" w:ascii="Arial" w:hAnsi="Arial"/>
          <w:color w:val="484D7A"/>
          <w:sz w:val="22"/>
          <w:szCs w:val="22"/>
        </w:rPr>
      </w:r>
    </w:p>
    <w:p>
      <w:pPr>
        <w:pStyle w:val="Normal"/>
        <w:jc w:val="both"/>
        <w:rPr>
          <w:rFonts w:ascii="Arial" w:hAnsi="Arial" w:cs="Arial"/>
          <w:color w:val="484D7A"/>
          <w:sz w:val="22"/>
          <w:szCs w:val="22"/>
        </w:rPr>
      </w:pPr>
      <w:r>
        <w:rPr>
          <w:rFonts w:cs="Arial" w:ascii="Arial" w:hAnsi="Arial"/>
          <w:color w:val="484D7A"/>
          <w:sz w:val="22"/>
          <w:szCs w:val="22"/>
        </w:rPr>
        <w:t xml:space="preserve">Il est calculé à partir de la formule suivante : </w:t>
      </w:r>
    </w:p>
    <w:p>
      <w:pPr>
        <w:pStyle w:val="Normal"/>
        <w:jc w:val="both"/>
        <w:rPr>
          <w:rFonts w:ascii="Arial" w:hAnsi="Arial" w:cs="Arial"/>
          <w:color w:val="484D7A"/>
          <w:sz w:val="20"/>
          <w:szCs w:val="20"/>
        </w:rPr>
      </w:pPr>
      <w:r>
        <w:rPr>
          <w:rFonts w:cs="Arial" w:ascii="Arial" w:hAnsi="Arial"/>
          <w:color w:val="484D7A"/>
          <w:sz w:val="20"/>
          <w:szCs w:val="20"/>
        </w:rPr>
      </w:r>
    </w:p>
    <w:p>
      <w:pPr>
        <w:pStyle w:val="Normal"/>
        <w:jc w:val="center"/>
        <w:rPr>
          <w:rFonts w:ascii="Arial" w:hAnsi="Arial" w:cs="Arial"/>
          <w:color w:val="484D7A"/>
        </w:rPr>
      </w:pPr>
      <w:r>
        <w:rPr/>
      </w:r>
      <m:oMath xmlns:m="http://schemas.openxmlformats.org/officeDocument/2006/math">
        <m:sSub>
          <m:e>
            <m:r>
              <w:rPr>
                <w:rFonts w:ascii="Cambria Math" w:hAnsi="Cambria Math"/>
              </w:rPr>
              <m:t xml:space="preserve">L</m:t>
            </m:r>
          </m:e>
          <m:sub>
            <m:r>
              <w:rPr>
                <w:rFonts w:ascii="Cambria Math" w:hAnsi="Cambria Math"/>
              </w:rPr>
              <m:t xml:space="preserve">den</m:t>
            </m:r>
          </m:sub>
        </m:sSub>
        <m:r>
          <w:rPr>
            <w:rFonts w:ascii="Cambria Math" w:hAnsi="Cambria Math"/>
          </w:rPr>
          <m:t xml:space="preserve">=</m:t>
        </m:r>
        <m:r>
          <w:rPr>
            <w:rFonts w:ascii="Cambria Math" w:hAnsi="Cambria Math"/>
          </w:rPr>
          <m:t xml:space="preserve">10</m:t>
        </m:r>
        <m:r>
          <w:rPr>
            <w:rFonts w:ascii="Cambria Math" w:hAnsi="Cambria Math"/>
          </w:rPr>
          <m:t xml:space="preserve">∗</m:t>
        </m:r>
        <m:r>
          <w:rPr>
            <w:rFonts w:ascii="Cambria Math" w:hAnsi="Cambria Math"/>
          </w:rPr>
          <m:t xml:space="preserve">log</m:t>
        </m:r>
      </m:oMath>
      <w:r>
        <w:rPr>
          <w:rFonts w:cs="Arial" w:ascii="Arial" w:hAnsi="Arial"/>
          <w:color w:val="484D7A"/>
        </w:rPr>
        <w:t>))</w:t>
      </w:r>
    </w:p>
    <w:p>
      <w:pPr>
        <w:pStyle w:val="Normal"/>
        <w:rPr>
          <w:rFonts w:ascii="Arial" w:hAnsi="Arial" w:cs="Arial"/>
          <w:color w:val="484D7A"/>
          <w:sz w:val="20"/>
          <w:szCs w:val="20"/>
        </w:rPr>
      </w:pPr>
      <w:r>
        <w:rPr>
          <w:rFonts w:cs="Arial" w:ascii="Arial" w:hAnsi="Arial"/>
          <w:color w:val="484D7A"/>
          <w:sz w:val="20"/>
          <w:szCs w:val="20"/>
        </w:rPr>
      </w:r>
    </w:p>
    <w:p>
      <w:pPr>
        <w:pStyle w:val="Normal"/>
        <w:jc w:val="both"/>
        <w:rPr>
          <w:rFonts w:ascii="Arial" w:hAnsi="Arial" w:cs="Arial"/>
          <w:color w:val="484D7A"/>
          <w:sz w:val="22"/>
          <w:szCs w:val="22"/>
        </w:rPr>
      </w:pPr>
      <w:r>
        <w:rPr>
          <w:rFonts w:cs="Arial" w:ascii="Arial" w:hAnsi="Arial"/>
          <w:color w:val="484D7A"/>
          <w:sz w:val="22"/>
          <w:szCs w:val="22"/>
        </w:rPr>
        <w:t>Les différences de sensibilité au bruit sont prises en compte au travers d’une pondération de 5 dB(A) en soirée et 10 dB(A) la nuit.</w:t>
      </w:r>
    </w:p>
    <w:p>
      <w:pPr>
        <w:pStyle w:val="Normal"/>
        <w:jc w:val="both"/>
        <w:rPr>
          <w:rFonts w:ascii="Arial" w:hAnsi="Arial" w:cs="Arial"/>
          <w:color w:val="484D7A"/>
          <w:sz w:val="22"/>
          <w:szCs w:val="22"/>
        </w:rPr>
      </w:pPr>
      <w:r>
        <w:rPr>
          <w:rFonts w:cs="Arial" w:ascii="Arial" w:hAnsi="Arial"/>
          <w:color w:val="484D7A"/>
          <w:sz w:val="22"/>
          <w:szCs w:val="22"/>
        </w:rPr>
      </w:r>
    </w:p>
    <w:p>
      <w:pPr>
        <w:pStyle w:val="Normal"/>
        <w:jc w:val="both"/>
        <w:rPr>
          <w:rFonts w:ascii="Arial" w:hAnsi="Arial" w:cs="Arial"/>
          <w:color w:val="484D7A"/>
          <w:sz w:val="22"/>
          <w:szCs w:val="22"/>
        </w:rPr>
      </w:pPr>
      <w:r>
        <w:rPr>
          <w:rFonts w:cs="Arial" w:ascii="Arial" w:hAnsi="Arial"/>
          <w:color w:val="484D7A"/>
          <w:sz w:val="22"/>
          <w:szCs w:val="22"/>
        </w:rPr>
        <w:t>La Directive Bruit impose les plages de niveaux de bruit attendues dans les cartes de bruit stratégiques pour chaque indice :</w:t>
      </w:r>
    </w:p>
    <w:p>
      <w:pPr>
        <w:pStyle w:val="ListParagraph"/>
        <w:numPr>
          <w:ilvl w:val="0"/>
          <w:numId w:val="9"/>
        </w:numPr>
        <w:suppressAutoHyphens w:val="true"/>
        <w:spacing w:lineRule="auto" w:line="276" w:before="0" w:after="0"/>
        <w:ind w:left="720" w:hanging="360"/>
        <w:jc w:val="both"/>
        <w:textAlignment w:val="baseline"/>
        <w:rPr>
          <w:rFonts w:ascii="Arial" w:hAnsi="Arial" w:cs="Arial"/>
          <w:color w:val="484D7A"/>
          <w:sz w:val="22"/>
          <w:szCs w:val="22"/>
        </w:rPr>
      </w:pPr>
      <w:r>
        <w:rPr>
          <w:rFonts w:cs="Arial" w:ascii="Arial" w:hAnsi="Arial"/>
          <w:color w:val="484D7A"/>
          <w:sz w:val="22"/>
          <w:szCs w:val="22"/>
        </w:rPr>
        <w:t>L</w:t>
      </w:r>
      <w:r>
        <w:rPr>
          <w:rFonts w:cs="Arial" w:ascii="Arial" w:hAnsi="Arial"/>
          <w:color w:val="484D7A"/>
          <w:sz w:val="22"/>
          <w:szCs w:val="22"/>
          <w:vertAlign w:val="subscript"/>
        </w:rPr>
        <w:t>den</w:t>
      </w:r>
      <w:r>
        <w:rPr>
          <w:rFonts w:cs="Arial" w:ascii="Arial" w:hAnsi="Arial"/>
          <w:color w:val="484D7A"/>
          <w:sz w:val="22"/>
          <w:szCs w:val="22"/>
        </w:rPr>
        <w:t xml:space="preserve"> : 55-59, 60-64, 65-69, 70-74, &gt;75 dB(A)</w:t>
      </w:r>
    </w:p>
    <w:p>
      <w:pPr>
        <w:pStyle w:val="ListParagraph"/>
        <w:numPr>
          <w:ilvl w:val="0"/>
          <w:numId w:val="9"/>
        </w:numPr>
        <w:suppressAutoHyphens w:val="true"/>
        <w:spacing w:lineRule="auto" w:line="276" w:before="0" w:after="0"/>
        <w:ind w:left="720" w:hanging="360"/>
        <w:jc w:val="both"/>
        <w:textAlignment w:val="baseline"/>
        <w:rPr>
          <w:rFonts w:ascii="Arial" w:hAnsi="Arial" w:cs="Arial"/>
          <w:color w:val="484D7A"/>
          <w:sz w:val="22"/>
          <w:szCs w:val="22"/>
        </w:rPr>
      </w:pPr>
      <w:r>
        <w:rPr>
          <w:rFonts w:cs="Arial" w:ascii="Arial" w:hAnsi="Arial"/>
          <w:color w:val="484D7A"/>
          <w:sz w:val="22"/>
          <w:szCs w:val="22"/>
        </w:rPr>
        <w:t>L</w:t>
      </w:r>
      <w:r>
        <w:rPr>
          <w:rFonts w:cs="Arial" w:ascii="Arial" w:hAnsi="Arial"/>
          <w:color w:val="484D7A"/>
          <w:sz w:val="22"/>
          <w:szCs w:val="22"/>
          <w:vertAlign w:val="subscript"/>
        </w:rPr>
        <w:t>night</w:t>
      </w:r>
      <w:r>
        <w:rPr>
          <w:rFonts w:cs="Arial" w:ascii="Arial" w:hAnsi="Arial"/>
          <w:color w:val="484D7A"/>
          <w:sz w:val="22"/>
          <w:szCs w:val="22"/>
        </w:rPr>
        <w:t> : 50-54, 55-59, 60-64, 65-69, &gt;70 dB(A)</w:t>
      </w:r>
    </w:p>
    <w:p>
      <w:pPr>
        <w:pStyle w:val="Normal"/>
        <w:jc w:val="both"/>
        <w:rPr>
          <w:rFonts w:ascii="Arial" w:hAnsi="Arial" w:cs="Arial"/>
          <w:color w:val="484D7A"/>
          <w:sz w:val="22"/>
          <w:szCs w:val="22"/>
        </w:rPr>
      </w:pPr>
      <w:r>
        <w:rPr>
          <w:rFonts w:cs="Arial" w:ascii="Arial" w:hAnsi="Arial"/>
          <w:color w:val="484D7A"/>
          <w:sz w:val="22"/>
          <w:szCs w:val="22"/>
        </w:rPr>
        <w:t>Celles-ci devant correspondre au niveau de bruit à 4m de hauteur.</w:t>
      </w:r>
    </w:p>
    <w:p>
      <w:pPr>
        <w:pStyle w:val="Normal"/>
        <w:jc w:val="both"/>
        <w:rPr>
          <w:rFonts w:ascii="Arial" w:hAnsi="Arial" w:cs="Arial"/>
          <w:color w:val="484D7A"/>
          <w:sz w:val="22"/>
          <w:szCs w:val="22"/>
          <w:highlight w:val="yellow"/>
        </w:rPr>
      </w:pPr>
      <w:r>
        <w:rPr>
          <w:rFonts w:cs="Arial" w:ascii="Arial" w:hAnsi="Arial"/>
          <w:color w:val="484D7A"/>
          <w:sz w:val="22"/>
          <w:szCs w:val="22"/>
          <w:highlight w:val="yellow"/>
        </w:rPr>
      </w:r>
    </w:p>
    <w:p>
      <w:pPr>
        <w:pStyle w:val="Normal"/>
        <w:jc w:val="both"/>
        <w:rPr>
          <w:rFonts w:ascii="Arial" w:hAnsi="Arial" w:cs="Arial"/>
          <w:color w:val="484D7A"/>
          <w:sz w:val="22"/>
          <w:szCs w:val="22"/>
        </w:rPr>
      </w:pPr>
      <w:r>
        <w:rPr>
          <w:rFonts w:cs="Arial" w:ascii="Arial" w:hAnsi="Arial"/>
          <w:color w:val="484D7A"/>
          <w:sz w:val="22"/>
          <w:szCs w:val="22"/>
        </w:rPr>
        <w:t xml:space="preserve">La représentation de ces niveaux de bruit est encadrée par la norme française NF S 31-130 qui associe à chacun une couleur, selon le codage RVB (Rouge, Vert, Bleu) : </w:t>
      </w:r>
    </w:p>
    <w:p>
      <w:pPr>
        <w:pStyle w:val="Normal"/>
        <w:jc w:val="both"/>
        <w:rPr>
          <w:rFonts w:ascii="Arial" w:hAnsi="Arial" w:cs="Arial"/>
          <w:color w:val="484D7A"/>
          <w:sz w:val="20"/>
          <w:szCs w:val="20"/>
        </w:rPr>
      </w:pPr>
      <w:r>
        <w:rPr>
          <w:rFonts w:cs="Arial" w:ascii="Arial" w:hAnsi="Arial"/>
          <w:color w:val="484D7A"/>
          <w:sz w:val="20"/>
          <w:szCs w:val="20"/>
        </w:rPr>
      </w:r>
    </w:p>
    <w:tbl>
      <w:tblPr>
        <w:tblStyle w:val="Grilledutableau"/>
        <w:tblW w:w="6048"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672"/>
        <w:gridCol w:w="636"/>
        <w:gridCol w:w="637"/>
        <w:gridCol w:w="618"/>
        <w:gridCol w:w="1485"/>
      </w:tblGrid>
      <w:tr>
        <w:trPr>
          <w:trHeight w:val="342" w:hRule="atLeast"/>
        </w:trPr>
        <w:tc>
          <w:tcPr>
            <w:tcW w:w="2672"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Niveau sonore en dB(A)</w:t>
            </w:r>
          </w:p>
        </w:tc>
        <w:tc>
          <w:tcPr>
            <w:tcW w:w="636"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w:t>
            </w:r>
          </w:p>
        </w:tc>
        <w:tc>
          <w:tcPr>
            <w:tcW w:w="63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w:t>
            </w:r>
          </w:p>
        </w:tc>
        <w:tc>
          <w:tcPr>
            <w:tcW w:w="618"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B</w:t>
            </w:r>
          </w:p>
        </w:tc>
        <w:tc>
          <w:tcPr>
            <w:tcW w:w="1485"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Couleur</w:t>
            </w:r>
          </w:p>
        </w:tc>
      </w:tr>
      <w:tr>
        <w:trPr>
          <w:trHeight w:val="307" w:hRule="atLeast"/>
        </w:trPr>
        <w:tc>
          <w:tcPr>
            <w:tcW w:w="2672"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Inférieur à 45</w:t>
            </w:r>
          </w:p>
        </w:tc>
        <w:tc>
          <w:tcPr>
            <w:tcW w:w="6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76</w:t>
            </w:r>
          </w:p>
        </w:tc>
        <w:tc>
          <w:tcPr>
            <w:tcW w:w="63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200</w:t>
            </w:r>
          </w:p>
        </w:tc>
        <w:tc>
          <w:tcPr>
            <w:tcW w:w="61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485" w:type="dxa"/>
            <w:tcBorders>
              <w:top w:val="single" w:sz="4" w:space="0" w:color="2F5496"/>
              <w:left w:val="single" w:sz="4" w:space="0" w:color="2F5496"/>
              <w:bottom w:val="single" w:sz="4" w:space="0" w:color="2F5496"/>
              <w:right w:val="single" w:sz="4" w:space="0" w:color="2F5496"/>
            </w:tcBorders>
            <w:shd w:color="auto" w:fill="58CE00"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r>
      <w:tr>
        <w:trPr>
          <w:trHeight w:val="342" w:hRule="atLeast"/>
        </w:trPr>
        <w:tc>
          <w:tcPr>
            <w:tcW w:w="2672"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45-50</w:t>
            </w:r>
          </w:p>
        </w:tc>
        <w:tc>
          <w:tcPr>
            <w:tcW w:w="6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85</w:t>
            </w:r>
          </w:p>
        </w:tc>
        <w:tc>
          <w:tcPr>
            <w:tcW w:w="63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255</w:t>
            </w:r>
          </w:p>
        </w:tc>
        <w:tc>
          <w:tcPr>
            <w:tcW w:w="61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485" w:type="dxa"/>
            <w:tcBorders>
              <w:top w:val="single" w:sz="4" w:space="0" w:color="2F5496"/>
              <w:left w:val="single" w:sz="4" w:space="0" w:color="2F5496"/>
              <w:bottom w:val="single" w:sz="4" w:space="0" w:color="2F5496"/>
              <w:right w:val="single" w:sz="4" w:space="0" w:color="2F5496"/>
            </w:tcBorders>
            <w:shd w:color="auto" w:fill="55FF00"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r>
      <w:tr>
        <w:trPr>
          <w:trHeight w:val="342" w:hRule="atLeast"/>
        </w:trPr>
        <w:tc>
          <w:tcPr>
            <w:tcW w:w="2672"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50-55</w:t>
            </w:r>
          </w:p>
        </w:tc>
        <w:tc>
          <w:tcPr>
            <w:tcW w:w="6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185</w:t>
            </w:r>
          </w:p>
        </w:tc>
        <w:tc>
          <w:tcPr>
            <w:tcW w:w="63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255</w:t>
            </w:r>
          </w:p>
        </w:tc>
        <w:tc>
          <w:tcPr>
            <w:tcW w:w="61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115</w:t>
            </w:r>
          </w:p>
        </w:tc>
        <w:tc>
          <w:tcPr>
            <w:tcW w:w="1485" w:type="dxa"/>
            <w:tcBorders>
              <w:top w:val="single" w:sz="4" w:space="0" w:color="2F5496"/>
              <w:left w:val="single" w:sz="4" w:space="0" w:color="2F5496"/>
              <w:bottom w:val="single" w:sz="4" w:space="0" w:color="2F5496"/>
              <w:right w:val="single" w:sz="4" w:space="0" w:color="2F5496"/>
            </w:tcBorders>
            <w:shd w:color="auto" w:fill="B9FF73"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r>
      <w:tr>
        <w:trPr>
          <w:trHeight w:val="307" w:hRule="atLeast"/>
        </w:trPr>
        <w:tc>
          <w:tcPr>
            <w:tcW w:w="2672"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6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255</w:t>
            </w:r>
          </w:p>
        </w:tc>
        <w:tc>
          <w:tcPr>
            <w:tcW w:w="63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255</w:t>
            </w:r>
          </w:p>
        </w:tc>
        <w:tc>
          <w:tcPr>
            <w:tcW w:w="61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485" w:type="dxa"/>
            <w:tcBorders>
              <w:top w:val="single" w:sz="4" w:space="0" w:color="2F5496"/>
              <w:left w:val="single" w:sz="4" w:space="0" w:color="2F5496"/>
              <w:bottom w:val="single" w:sz="4" w:space="0" w:color="2F5496"/>
              <w:right w:val="single" w:sz="4" w:space="0" w:color="2F5496"/>
            </w:tcBorders>
            <w:shd w:color="auto" w:fill="FFFF00"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r>
      <w:tr>
        <w:trPr>
          <w:trHeight w:val="342" w:hRule="atLeast"/>
        </w:trPr>
        <w:tc>
          <w:tcPr>
            <w:tcW w:w="2672"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6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255</w:t>
            </w:r>
          </w:p>
        </w:tc>
        <w:tc>
          <w:tcPr>
            <w:tcW w:w="63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170</w:t>
            </w:r>
          </w:p>
        </w:tc>
        <w:tc>
          <w:tcPr>
            <w:tcW w:w="61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485" w:type="dxa"/>
            <w:tcBorders>
              <w:top w:val="single" w:sz="4" w:space="0" w:color="2F5496"/>
              <w:left w:val="single" w:sz="4" w:space="0" w:color="2F5496"/>
              <w:bottom w:val="single" w:sz="4" w:space="0" w:color="2F5496"/>
              <w:right w:val="single" w:sz="4" w:space="0" w:color="2F5496"/>
            </w:tcBorders>
            <w:shd w:color="auto" w:fill="FFAA00"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r>
      <w:tr>
        <w:trPr>
          <w:trHeight w:val="342" w:hRule="atLeast"/>
        </w:trPr>
        <w:tc>
          <w:tcPr>
            <w:tcW w:w="2672"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6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255</w:t>
            </w:r>
          </w:p>
        </w:tc>
        <w:tc>
          <w:tcPr>
            <w:tcW w:w="63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61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485" w:type="dxa"/>
            <w:tcBorders>
              <w:top w:val="single" w:sz="4" w:space="0" w:color="2F5496"/>
              <w:left w:val="single" w:sz="4" w:space="0" w:color="2F5496"/>
              <w:bottom w:val="single" w:sz="4" w:space="0" w:color="2F5496"/>
              <w:right w:val="single" w:sz="4" w:space="0" w:color="2F5496"/>
            </w:tcBorders>
            <w:shd w:color="auto" w:fill="FF0000"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r>
      <w:tr>
        <w:trPr>
          <w:trHeight w:val="307" w:hRule="atLeast"/>
        </w:trPr>
        <w:tc>
          <w:tcPr>
            <w:tcW w:w="2672"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70-75</w:t>
            </w:r>
          </w:p>
        </w:tc>
        <w:tc>
          <w:tcPr>
            <w:tcW w:w="6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213</w:t>
            </w:r>
          </w:p>
        </w:tc>
        <w:tc>
          <w:tcPr>
            <w:tcW w:w="63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61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255</w:t>
            </w:r>
          </w:p>
        </w:tc>
        <w:tc>
          <w:tcPr>
            <w:tcW w:w="1485" w:type="dxa"/>
            <w:tcBorders>
              <w:top w:val="single" w:sz="4" w:space="0" w:color="2F5496"/>
              <w:left w:val="single" w:sz="4" w:space="0" w:color="2F5496"/>
              <w:bottom w:val="single" w:sz="4" w:space="0" w:color="2F5496"/>
              <w:right w:val="single" w:sz="4" w:space="0" w:color="2F5496"/>
            </w:tcBorders>
            <w:shd w:color="auto" w:fill="D500FF"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r>
      <w:tr>
        <w:trPr>
          <w:trHeight w:val="342" w:hRule="atLeast"/>
        </w:trPr>
        <w:tc>
          <w:tcPr>
            <w:tcW w:w="2672"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&gt;75</w:t>
            </w:r>
          </w:p>
        </w:tc>
        <w:tc>
          <w:tcPr>
            <w:tcW w:w="6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150</w:t>
            </w:r>
          </w:p>
        </w:tc>
        <w:tc>
          <w:tcPr>
            <w:tcW w:w="63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61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100</w:t>
            </w:r>
          </w:p>
        </w:tc>
        <w:tc>
          <w:tcPr>
            <w:tcW w:w="1485" w:type="dxa"/>
            <w:tcBorders>
              <w:top w:val="single" w:sz="4" w:space="0" w:color="2F5496"/>
              <w:left w:val="single" w:sz="4" w:space="0" w:color="2F5496"/>
              <w:bottom w:val="single" w:sz="4" w:space="0" w:color="2F5496"/>
              <w:right w:val="single" w:sz="4" w:space="0" w:color="2F5496"/>
            </w:tcBorders>
            <w:shd w:color="auto" w:fill="960064"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r>
    </w:tbl>
    <w:p>
      <w:pPr>
        <w:pStyle w:val="Normal"/>
        <w:rPr>
          <w:rFonts w:ascii="Arial" w:hAnsi="Arial" w:cs="Arial"/>
          <w:color w:val="484D7A"/>
          <w:sz w:val="20"/>
          <w:szCs w:val="20"/>
          <w:highlight w:val="yellow"/>
        </w:rPr>
      </w:pPr>
      <w:r>
        <w:rPr>
          <w:rFonts w:cs="Arial" w:ascii="Arial" w:hAnsi="Arial"/>
          <w:color w:val="484D7A"/>
          <w:sz w:val="20"/>
          <w:szCs w:val="20"/>
          <w:highlight w:val="yellow"/>
        </w:rPr>
      </w:r>
    </w:p>
    <w:p>
      <w:pPr>
        <w:pStyle w:val="Titre2"/>
        <w:numPr>
          <w:ilvl w:val="1"/>
          <w:numId w:val="2"/>
        </w:numPr>
        <w:jc w:val="both"/>
        <w:rPr>
          <w:rFonts w:ascii="Arial" w:hAnsi="Arial" w:cs="Arial"/>
          <w:color w:val="484D7A"/>
        </w:rPr>
      </w:pPr>
      <w:bookmarkStart w:id="13" w:name="_Toc102381438"/>
      <w:r>
        <w:rPr>
          <w:rFonts w:cs="Arial" w:ascii="Arial" w:hAnsi="Arial"/>
          <w:color w:val="484D7A"/>
        </w:rPr>
        <w:t>Les valeurs limites (cartes de type C)</w:t>
      </w:r>
      <w:bookmarkEnd w:id="13"/>
    </w:p>
    <w:p>
      <w:pPr>
        <w:pStyle w:val="Normal"/>
        <w:rPr/>
      </w:pPr>
      <w:r>
        <w:rPr/>
      </w:r>
    </w:p>
    <w:p>
      <w:pPr>
        <w:pStyle w:val="Normal"/>
        <w:jc w:val="both"/>
        <w:rPr>
          <w:rFonts w:ascii="Arial" w:hAnsi="Arial" w:cs="Arial"/>
          <w:color w:val="484D7A"/>
          <w:sz w:val="22"/>
          <w:szCs w:val="22"/>
        </w:rPr>
      </w:pPr>
      <w:r>
        <w:rPr>
          <w:rFonts w:cs="Arial" w:ascii="Arial" w:hAnsi="Arial"/>
          <w:color w:val="484D7A"/>
          <w:sz w:val="22"/>
          <w:szCs w:val="22"/>
        </w:rPr>
        <w:t xml:space="preserve">Les cartes de type C correspondent à la représentation des zones où les valeurs limites sont dépassées. Ces seuils sont indiqués dans l’article 7 de l’arrêté du 4 avril 2006 modifié, ils dépendent de l’indice et du type d’infrastructure de transport. Les couleurs de représentation sont aussi encadrées par la norme NF S 31-130 : </w:t>
      </w:r>
    </w:p>
    <w:tbl>
      <w:tblPr>
        <w:tblStyle w:val="Grilledutableau"/>
        <w:tblW w:w="828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564"/>
        <w:gridCol w:w="953"/>
        <w:gridCol w:w="952"/>
        <w:gridCol w:w="954"/>
        <w:gridCol w:w="953"/>
        <w:gridCol w:w="952"/>
        <w:gridCol w:w="953"/>
      </w:tblGrid>
      <w:tr>
        <w:trPr>
          <w:trHeight w:val="264" w:hRule="atLeast"/>
        </w:trPr>
        <w:tc>
          <w:tcPr>
            <w:tcW w:w="2564" w:type="dxa"/>
            <w:tcBorders>
              <w:top w:val="nil"/>
              <w:left w:val="nil"/>
              <w:bottom w:val="single" w:sz="4" w:space="0" w:color="484D7A"/>
              <w:right w:val="single" w:sz="4" w:space="0" w:color="484D7A"/>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c>
          <w:tcPr>
            <w:tcW w:w="5717" w:type="dxa"/>
            <w:gridSpan w:val="6"/>
            <w:tcBorders>
              <w:top w:val="single" w:sz="4" w:space="0" w:color="2F5496"/>
              <w:left w:val="single" w:sz="4" w:space="0" w:color="484D7A"/>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Niveau de bruit en dB(A)</w:t>
            </w:r>
          </w:p>
        </w:tc>
      </w:tr>
      <w:tr>
        <w:trPr>
          <w:trHeight w:val="277" w:hRule="atLeast"/>
        </w:trPr>
        <w:tc>
          <w:tcPr>
            <w:tcW w:w="2564" w:type="dxa"/>
            <w:tcBorders>
              <w:top w:val="single" w:sz="4" w:space="0" w:color="484D7A"/>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Source</w:t>
            </w:r>
          </w:p>
        </w:tc>
        <w:tc>
          <w:tcPr>
            <w:tcW w:w="2859" w:type="dxa"/>
            <w:gridSpan w:val="3"/>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2"/>
                <w:szCs w:val="22"/>
              </w:rPr>
            </w:pPr>
            <w:r>
              <w:rPr>
                <w:rFonts w:cs="Arial" w:ascii="Arial" w:hAnsi="Arial"/>
                <w:color w:val="484D7A"/>
                <w:kern w:val="0"/>
                <w:sz w:val="22"/>
                <w:szCs w:val="22"/>
                <w:lang w:val="fr-FR" w:bidi="ar-SA"/>
              </w:rPr>
              <w:t>L</w:t>
            </w:r>
            <w:r>
              <w:rPr>
                <w:rFonts w:cs="Arial" w:ascii="Arial" w:hAnsi="Arial"/>
                <w:color w:val="484D7A"/>
                <w:kern w:val="0"/>
                <w:sz w:val="22"/>
                <w:szCs w:val="22"/>
                <w:vertAlign w:val="subscript"/>
                <w:lang w:val="fr-FR" w:bidi="ar-SA"/>
              </w:rPr>
              <w:t>den</w:t>
            </w:r>
          </w:p>
        </w:tc>
        <w:tc>
          <w:tcPr>
            <w:tcW w:w="2858" w:type="dxa"/>
            <w:gridSpan w:val="3"/>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2"/>
                <w:szCs w:val="22"/>
              </w:rPr>
            </w:pPr>
            <w:r>
              <w:rPr>
                <w:rFonts w:cs="Arial" w:ascii="Arial" w:hAnsi="Arial"/>
                <w:color w:val="484D7A"/>
                <w:kern w:val="0"/>
                <w:sz w:val="22"/>
                <w:szCs w:val="22"/>
                <w:lang w:val="fr-FR" w:bidi="ar-SA"/>
              </w:rPr>
              <w:t>L</w:t>
            </w:r>
            <w:r>
              <w:rPr>
                <w:rFonts w:cs="Arial" w:ascii="Arial" w:hAnsi="Arial"/>
                <w:color w:val="484D7A"/>
                <w:kern w:val="0"/>
                <w:sz w:val="22"/>
                <w:szCs w:val="22"/>
                <w:vertAlign w:val="subscript"/>
                <w:lang w:val="fr-FR" w:bidi="ar-SA"/>
              </w:rPr>
              <w:t>night</w:t>
            </w:r>
          </w:p>
        </w:tc>
      </w:tr>
      <w:tr>
        <w:trPr>
          <w:trHeight w:val="264" w:hRule="atLeast"/>
        </w:trPr>
        <w:tc>
          <w:tcPr>
            <w:tcW w:w="2564" w:type="dxa"/>
            <w:tcBorders>
              <w:top w:val="single" w:sz="4" w:space="0" w:color="2F5496"/>
              <w:left w:val="single" w:sz="4" w:space="0" w:color="2F5496"/>
              <w:bottom w:val="single" w:sz="4" w:space="0" w:color="2F5496"/>
              <w:right w:val="single" w:sz="4" w:space="0" w:color="484D7A"/>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ou LGV</w:t>
            </w:r>
          </w:p>
        </w:tc>
        <w:tc>
          <w:tcPr>
            <w:tcW w:w="2859" w:type="dxa"/>
            <w:gridSpan w:val="3"/>
            <w:tcBorders>
              <w:top w:val="single" w:sz="4" w:space="0" w:color="2F5496"/>
              <w:left w:val="single" w:sz="4" w:space="0" w:color="484D7A"/>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68</w:t>
            </w:r>
          </w:p>
        </w:tc>
        <w:tc>
          <w:tcPr>
            <w:tcW w:w="2858" w:type="dxa"/>
            <w:gridSpan w:val="3"/>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62</w:t>
            </w:r>
          </w:p>
        </w:tc>
      </w:tr>
      <w:tr>
        <w:trPr>
          <w:trHeight w:val="264" w:hRule="atLeast"/>
        </w:trPr>
        <w:tc>
          <w:tcPr>
            <w:tcW w:w="256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 ferrée conventionnelle</w:t>
            </w:r>
          </w:p>
        </w:tc>
        <w:tc>
          <w:tcPr>
            <w:tcW w:w="2859" w:type="dxa"/>
            <w:gridSpan w:val="3"/>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73</w:t>
            </w:r>
          </w:p>
        </w:tc>
        <w:tc>
          <w:tcPr>
            <w:tcW w:w="2858" w:type="dxa"/>
            <w:gridSpan w:val="3"/>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w:t>
            </w:r>
          </w:p>
        </w:tc>
      </w:tr>
      <w:tr>
        <w:trPr>
          <w:trHeight w:val="277" w:hRule="atLeast"/>
        </w:trPr>
        <w:tc>
          <w:tcPr>
            <w:tcW w:w="256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Activité industrielle</w:t>
            </w:r>
          </w:p>
        </w:tc>
        <w:tc>
          <w:tcPr>
            <w:tcW w:w="2859" w:type="dxa"/>
            <w:gridSpan w:val="3"/>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71</w:t>
            </w:r>
          </w:p>
        </w:tc>
        <w:tc>
          <w:tcPr>
            <w:tcW w:w="2858" w:type="dxa"/>
            <w:gridSpan w:val="3"/>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w:t>
            </w:r>
          </w:p>
        </w:tc>
      </w:tr>
      <w:tr>
        <w:trPr>
          <w:trHeight w:val="264" w:hRule="atLeast"/>
        </w:trPr>
        <w:tc>
          <w:tcPr>
            <w:tcW w:w="2564" w:type="dxa"/>
            <w:tcBorders>
              <w:top w:val="single" w:sz="4" w:space="0" w:color="2F5496"/>
              <w:left w:val="single" w:sz="4" w:space="0" w:color="2F5496"/>
              <w:bottom w:val="single" w:sz="4" w:space="0" w:color="484D7A"/>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Aérodromes</w:t>
            </w:r>
          </w:p>
        </w:tc>
        <w:tc>
          <w:tcPr>
            <w:tcW w:w="2859" w:type="dxa"/>
            <w:gridSpan w:val="3"/>
            <w:tcBorders>
              <w:top w:val="single" w:sz="4" w:space="0" w:color="2F5496"/>
              <w:left w:val="single" w:sz="4" w:space="0" w:color="2F5496"/>
              <w:bottom w:val="single" w:sz="4" w:space="0" w:color="484D7A"/>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w:t>
            </w:r>
          </w:p>
        </w:tc>
        <w:tc>
          <w:tcPr>
            <w:tcW w:w="2858" w:type="dxa"/>
            <w:gridSpan w:val="3"/>
            <w:tcBorders>
              <w:top w:val="single" w:sz="4" w:space="0" w:color="2F5496"/>
              <w:left w:val="single" w:sz="4" w:space="0" w:color="2F5496"/>
              <w:bottom w:val="single" w:sz="4" w:space="0" w:color="484D7A"/>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w:t>
            </w:r>
          </w:p>
        </w:tc>
      </w:tr>
      <w:tr>
        <w:trPr>
          <w:trHeight w:val="264" w:hRule="atLeast"/>
        </w:trPr>
        <w:tc>
          <w:tcPr>
            <w:tcW w:w="2564" w:type="dxa"/>
            <w:tcBorders>
              <w:top w:val="single" w:sz="4" w:space="0" w:color="484D7A"/>
              <w:left w:val="single" w:sz="4" w:space="0" w:color="484D7A"/>
              <w:bottom w:val="single" w:sz="4" w:space="0" w:color="484D7A"/>
              <w:right w:val="single" w:sz="4" w:space="0" w:color="484D7A"/>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Codes RVB</w:t>
            </w:r>
          </w:p>
        </w:tc>
        <w:tc>
          <w:tcPr>
            <w:tcW w:w="953" w:type="dxa"/>
            <w:tcBorders>
              <w:top w:val="single" w:sz="4" w:space="0" w:color="484D7A"/>
              <w:left w:val="single" w:sz="4" w:space="0" w:color="484D7A"/>
              <w:bottom w:val="single" w:sz="4" w:space="0" w:color="484D7A"/>
              <w:right w:val="single" w:sz="4" w:space="0" w:color="484D7A"/>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255</w:t>
            </w:r>
          </w:p>
        </w:tc>
        <w:tc>
          <w:tcPr>
            <w:tcW w:w="952" w:type="dxa"/>
            <w:tcBorders>
              <w:top w:val="single" w:sz="4" w:space="0" w:color="484D7A"/>
              <w:left w:val="single" w:sz="4" w:space="0" w:color="484D7A"/>
              <w:bottom w:val="single" w:sz="4" w:space="0" w:color="484D7A"/>
              <w:right w:val="single" w:sz="4" w:space="0" w:color="484D7A"/>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106</w:t>
            </w:r>
          </w:p>
        </w:tc>
        <w:tc>
          <w:tcPr>
            <w:tcW w:w="954" w:type="dxa"/>
            <w:tcBorders>
              <w:top w:val="single" w:sz="4" w:space="0" w:color="484D7A"/>
              <w:left w:val="single" w:sz="4" w:space="0" w:color="484D7A"/>
              <w:bottom w:val="single" w:sz="4" w:space="0" w:color="484D7A"/>
              <w:right w:val="single" w:sz="4" w:space="0" w:color="484D7A"/>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53" w:type="dxa"/>
            <w:tcBorders>
              <w:top w:val="single" w:sz="4" w:space="0" w:color="484D7A"/>
              <w:left w:val="single" w:sz="4" w:space="0" w:color="484D7A"/>
              <w:bottom w:val="single" w:sz="4" w:space="0" w:color="484D7A"/>
              <w:right w:val="single" w:sz="4" w:space="0" w:color="484D7A"/>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255</w:t>
            </w:r>
          </w:p>
        </w:tc>
        <w:tc>
          <w:tcPr>
            <w:tcW w:w="952" w:type="dxa"/>
            <w:tcBorders>
              <w:top w:val="single" w:sz="4" w:space="0" w:color="484D7A"/>
              <w:left w:val="single" w:sz="4" w:space="0" w:color="484D7A"/>
              <w:bottom w:val="single" w:sz="4" w:space="0" w:color="484D7A"/>
              <w:right w:val="single" w:sz="4" w:space="0" w:color="484D7A"/>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53" w:type="dxa"/>
            <w:tcBorders>
              <w:top w:val="single" w:sz="4" w:space="0" w:color="484D7A"/>
              <w:left w:val="single" w:sz="4" w:space="0" w:color="484D7A"/>
              <w:bottom w:val="single" w:sz="4" w:space="0" w:color="484D7A"/>
              <w:right w:val="single" w:sz="4" w:space="0" w:color="484D7A"/>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220</w:t>
            </w:r>
          </w:p>
        </w:tc>
      </w:tr>
      <w:tr>
        <w:trPr>
          <w:trHeight w:val="264" w:hRule="atLeast"/>
        </w:trPr>
        <w:tc>
          <w:tcPr>
            <w:tcW w:w="2564" w:type="dxa"/>
            <w:tcBorders>
              <w:top w:val="single" w:sz="4" w:space="0" w:color="484D7A"/>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Couleur</w:t>
            </w:r>
          </w:p>
        </w:tc>
        <w:tc>
          <w:tcPr>
            <w:tcW w:w="2859" w:type="dxa"/>
            <w:gridSpan w:val="3"/>
            <w:tcBorders>
              <w:top w:val="single" w:sz="4" w:space="0" w:color="484D7A"/>
              <w:left w:val="single" w:sz="4" w:space="0" w:color="2F5496"/>
              <w:bottom w:val="single" w:sz="4" w:space="0" w:color="2F5496"/>
              <w:right w:val="single" w:sz="4" w:space="0" w:color="2F5496"/>
            </w:tcBorders>
            <w:shd w:color="auto" w:fill="FF6A00"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c>
          <w:tcPr>
            <w:tcW w:w="2858" w:type="dxa"/>
            <w:gridSpan w:val="3"/>
            <w:tcBorders>
              <w:top w:val="single" w:sz="4" w:space="0" w:color="484D7A"/>
              <w:left w:val="single" w:sz="4" w:space="0" w:color="2F5496"/>
              <w:bottom w:val="single" w:sz="4" w:space="0" w:color="2F5496"/>
              <w:right w:val="single" w:sz="4" w:space="0" w:color="2F5496"/>
            </w:tcBorders>
            <w:shd w:color="auto" w:fill="FF00DC"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r>
    </w:tbl>
    <w:p>
      <w:pPr>
        <w:pStyle w:val="Normal"/>
        <w:rPr/>
      </w:pPr>
      <w:r>
        <w:rPr/>
      </w:r>
    </w:p>
    <w:p>
      <w:pPr>
        <w:pStyle w:val="Titre1"/>
        <w:numPr>
          <w:ilvl w:val="0"/>
          <w:numId w:val="2"/>
        </w:numPr>
        <w:rPr>
          <w:rFonts w:ascii="Arial" w:hAnsi="Arial" w:cs="Arial"/>
          <w:b/>
          <w:b/>
          <w:bCs/>
          <w:color w:val="484D7A"/>
          <w:sz w:val="28"/>
          <w:szCs w:val="28"/>
        </w:rPr>
      </w:pPr>
      <w:bookmarkStart w:id="14" w:name="_Toc102381439"/>
      <w:r>
        <w:rPr>
          <w:rFonts w:cs="Arial" w:ascii="Arial" w:hAnsi="Arial"/>
          <w:b/>
          <w:bCs/>
          <w:color w:val="484D7A"/>
          <w:sz w:val="28"/>
          <w:szCs w:val="28"/>
        </w:rPr>
        <w:t>Les cartes de bruit stratégiques et données d’exposition associées</w:t>
      </w:r>
      <w:bookmarkEnd w:id="14"/>
    </w:p>
    <w:p>
      <w:pPr>
        <w:pStyle w:val="Normal"/>
        <w:rPr/>
      </w:pPr>
      <w:r>
        <w:rPr/>
      </w:r>
    </w:p>
    <w:p>
      <w:pPr>
        <w:pStyle w:val="Titre2"/>
        <w:numPr>
          <w:ilvl w:val="1"/>
          <w:numId w:val="2"/>
        </w:numPr>
        <w:jc w:val="both"/>
        <w:rPr>
          <w:rFonts w:ascii="Arial" w:hAnsi="Arial" w:cs="Arial"/>
          <w:color w:val="484D7A"/>
        </w:rPr>
      </w:pPr>
      <w:bookmarkStart w:id="15" w:name="_Toc102381440"/>
      <w:r>
        <w:rPr>
          <w:rFonts w:cs="Arial" w:ascii="Arial" w:hAnsi="Arial"/>
          <w:color w:val="484D7A"/>
        </w:rPr>
        <w:t>Les bases de données d’entrée</w:t>
      </w:r>
      <w:bookmarkEnd w:id="15"/>
    </w:p>
    <w:p>
      <w:pPr>
        <w:pStyle w:val="Normal"/>
        <w:rPr/>
      </w:pPr>
      <w:r>
        <w:rPr/>
      </w:r>
    </w:p>
    <w:p>
      <w:pPr>
        <w:pStyle w:val="Standard"/>
        <w:rPr>
          <w:sz w:val="22"/>
          <w:szCs w:val="22"/>
        </w:rPr>
      </w:pPr>
      <w:r>
        <w:drawing>
          <wp:anchor behindDoc="0" distT="0" distB="0" distL="114300" distR="114300" simplePos="0" locked="0" layoutInCell="0" allowOverlap="1" relativeHeight="18">
            <wp:simplePos x="0" y="0"/>
            <wp:positionH relativeFrom="column">
              <wp:posOffset>4389755</wp:posOffset>
            </wp:positionH>
            <wp:positionV relativeFrom="paragraph">
              <wp:posOffset>8890</wp:posOffset>
            </wp:positionV>
            <wp:extent cx="2156460" cy="2451735"/>
            <wp:effectExtent l="0" t="0" r="0" b="0"/>
            <wp:wrapSquare wrapText="bothSides"/>
            <wp:docPr id="28" name="images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s4" descr=""/>
                    <pic:cNvPicPr>
                      <a:picLocks noChangeAspect="1" noChangeArrowheads="1"/>
                    </pic:cNvPicPr>
                  </pic:nvPicPr>
                  <pic:blipFill>
                    <a:blip r:embed="rId15"/>
                    <a:stretch>
                      <a:fillRect/>
                    </a:stretch>
                  </pic:blipFill>
                  <pic:spPr bwMode="auto">
                    <a:xfrm>
                      <a:off x="0" y="0"/>
                      <a:ext cx="2156460" cy="2451735"/>
                    </a:xfrm>
                    <a:prstGeom prst="rect">
                      <a:avLst/>
                    </a:prstGeom>
                  </pic:spPr>
                </pic:pic>
              </a:graphicData>
            </a:graphic>
          </wp:anchor>
        </w:drawing>
      </w:r>
      <w:r>
        <w:rPr>
          <w:sz w:val="22"/>
          <w:szCs w:val="22"/>
        </w:rPr>
        <w:t>Six bases de données ont été consolidées par le Cerema dans le but de réaliser les cartes de bruit stratégiques de la 4</w:t>
      </w:r>
      <w:r>
        <w:rPr>
          <w:sz w:val="22"/>
          <w:szCs w:val="22"/>
          <w:vertAlign w:val="superscript"/>
        </w:rPr>
        <w:t>e</w:t>
      </w:r>
      <w:r>
        <w:rPr>
          <w:sz w:val="22"/>
          <w:szCs w:val="22"/>
        </w:rPr>
        <w:t xml:space="preserve"> échéance :</w:t>
      </w:r>
    </w:p>
    <w:p>
      <w:pPr>
        <w:pStyle w:val="ListParagraph"/>
        <w:numPr>
          <w:ilvl w:val="0"/>
          <w:numId w:val="11"/>
        </w:numPr>
        <w:suppressAutoHyphens w:val="true"/>
        <w:spacing w:lineRule="auto" w:line="276" w:before="0" w:after="0"/>
        <w:jc w:val="both"/>
        <w:textAlignment w:val="baseline"/>
        <w:rPr>
          <w:rFonts w:ascii="Arial" w:hAnsi="Arial" w:cs="Arial"/>
          <w:color w:val="484D7A"/>
          <w:sz w:val="20"/>
          <w:szCs w:val="20"/>
        </w:rPr>
      </w:pPr>
      <w:r>
        <w:rPr>
          <w:rFonts w:cs="Arial" w:ascii="Arial" w:hAnsi="Arial"/>
          <w:color w:val="484D7A"/>
          <w:sz w:val="20"/>
          <w:szCs w:val="20"/>
        </w:rPr>
        <w:t xml:space="preserve">La </w:t>
      </w:r>
      <w:r>
        <w:rPr>
          <w:rFonts w:cs="Arial" w:ascii="Arial" w:hAnsi="Arial"/>
          <w:b/>
          <w:bCs/>
          <w:color w:val="484D7A"/>
          <w:sz w:val="20"/>
          <w:szCs w:val="20"/>
        </w:rPr>
        <w:t>base de données route</w:t>
      </w:r>
      <w:r>
        <w:rPr>
          <w:rFonts w:cs="Arial" w:ascii="Arial" w:hAnsi="Arial"/>
          <w:color w:val="484D7A"/>
          <w:sz w:val="20"/>
          <w:szCs w:val="20"/>
        </w:rPr>
        <w:t> : elle a pour référentiel la BDTOPO de l’IGN datée de juin 2019. Le Cerema a effectué un audit des données SIG disponibles, issues de bases tierces ou de fichiers fournis par les gestionnaires, afin d’enrichir ce référentiel. Lorsque la correspondance entre les objets des données sources et les objets du référentiel a été établie, les attributs (trafic, vitesse, revêtement…) provenant des données source ont été appariés au linéaire. Le Cerema a mis en œuvre une consultation entre le 1</w:t>
      </w:r>
      <w:r>
        <w:rPr>
          <w:rFonts w:cs="Arial" w:ascii="Arial" w:hAnsi="Arial"/>
          <w:color w:val="484D7A"/>
          <w:sz w:val="20"/>
          <w:szCs w:val="20"/>
          <w:vertAlign w:val="superscript"/>
        </w:rPr>
        <w:t>er</w:t>
      </w:r>
      <w:r>
        <w:rPr>
          <w:rFonts w:cs="Arial" w:ascii="Arial" w:hAnsi="Arial"/>
          <w:color w:val="484D7A"/>
          <w:sz w:val="20"/>
          <w:szCs w:val="20"/>
        </w:rPr>
        <w:t xml:space="preserve"> décembre 2021 et le 28 janvier 2022 pour permettre aux gestionnaires d’effectuer des demandes de modification de leurs données d’entrée ayant un impact sur la modélisation acoustique ;</w:t>
      </w:r>
    </w:p>
    <w:p>
      <w:pPr>
        <w:pStyle w:val="ListParagraph"/>
        <w:numPr>
          <w:ilvl w:val="0"/>
          <w:numId w:val="10"/>
        </w:numPr>
        <w:suppressAutoHyphens w:val="true"/>
        <w:spacing w:lineRule="auto" w:line="276" w:before="0" w:after="0"/>
        <w:jc w:val="both"/>
        <w:textAlignment w:val="baseline"/>
        <w:rPr>
          <w:rFonts w:ascii="Arial" w:hAnsi="Arial" w:cs="Arial"/>
          <w:color w:val="484D7A"/>
          <w:sz w:val="20"/>
          <w:szCs w:val="20"/>
        </w:rPr>
      </w:pPr>
      <w:r>
        <w:rPr>
          <w:rFonts w:cs="Arial" w:ascii="Arial" w:hAnsi="Arial"/>
          <w:color w:val="484D7A"/>
          <w:sz w:val="20"/>
          <w:szCs w:val="20"/>
        </w:rPr>
        <w:t xml:space="preserve">La </w:t>
      </w:r>
      <w:r>
        <w:rPr>
          <w:rFonts w:cs="Arial" w:ascii="Arial" w:hAnsi="Arial"/>
          <w:b/>
          <w:bCs/>
          <w:color w:val="484D7A"/>
          <w:sz w:val="20"/>
          <w:szCs w:val="20"/>
        </w:rPr>
        <w:t>base de données fer</w:t>
      </w:r>
      <w:r>
        <w:rPr>
          <w:rFonts w:cs="Arial" w:ascii="Arial" w:hAnsi="Arial"/>
          <w:color w:val="484D7A"/>
          <w:sz w:val="20"/>
          <w:szCs w:val="20"/>
        </w:rPr>
        <w:t xml:space="preserve"> a été élaborée à partir des données ferroviaires fournies par SNCF Réseau et mises en forme par le Cerema ;</w:t>
      </w:r>
    </w:p>
    <w:p>
      <w:pPr>
        <w:pStyle w:val="ListParagraph"/>
        <w:numPr>
          <w:ilvl w:val="0"/>
          <w:numId w:val="10"/>
        </w:numPr>
        <w:suppressAutoHyphens w:val="true"/>
        <w:spacing w:lineRule="auto" w:line="276" w:before="0" w:after="0"/>
        <w:jc w:val="both"/>
        <w:textAlignment w:val="baseline"/>
        <w:rPr>
          <w:rFonts w:ascii="Arial" w:hAnsi="Arial" w:cs="Arial"/>
          <w:color w:val="484D7A"/>
          <w:sz w:val="20"/>
          <w:szCs w:val="20"/>
        </w:rPr>
      </w:pPr>
      <w:r>
        <w:rPr>
          <w:rFonts w:cs="Arial" w:ascii="Arial" w:hAnsi="Arial"/>
          <w:color w:val="484D7A"/>
          <w:sz w:val="20"/>
          <w:szCs w:val="20"/>
        </w:rPr>
        <w:t xml:space="preserve">Les </w:t>
      </w:r>
      <w:r>
        <w:rPr>
          <w:rFonts w:cs="Arial" w:ascii="Arial" w:hAnsi="Arial"/>
          <w:b/>
          <w:bCs/>
          <w:color w:val="484D7A"/>
          <w:sz w:val="20"/>
          <w:szCs w:val="20"/>
        </w:rPr>
        <w:t>bases de données bâtiments</w:t>
      </w:r>
      <w:r>
        <w:rPr>
          <w:rFonts w:cs="Arial" w:ascii="Arial" w:hAnsi="Arial"/>
          <w:color w:val="484D7A"/>
          <w:sz w:val="20"/>
          <w:szCs w:val="20"/>
        </w:rPr>
        <w:t xml:space="preserve"> </w:t>
      </w:r>
      <w:r>
        <w:rPr>
          <w:rFonts w:cs="Arial" w:ascii="Arial" w:hAnsi="Arial"/>
          <w:b/>
          <w:bCs/>
          <w:color w:val="484D7A"/>
          <w:sz w:val="20"/>
          <w:szCs w:val="20"/>
        </w:rPr>
        <w:t>et bâtiments sensibles</w:t>
      </w:r>
      <w:r>
        <w:rPr>
          <w:rFonts w:cs="Arial" w:ascii="Arial" w:hAnsi="Arial"/>
          <w:color w:val="484D7A"/>
          <w:sz w:val="20"/>
          <w:szCs w:val="20"/>
        </w:rPr>
        <w:t xml:space="preserve"> (établissements recevant un public vulnérable) ont été établies par le Cerema à partir de la BDTOPO de l'IGN et de l’exploitation de différentes bases disponibles en Open Data ;</w:t>
      </w:r>
    </w:p>
    <w:p>
      <w:pPr>
        <w:pStyle w:val="ListParagraph"/>
        <w:numPr>
          <w:ilvl w:val="0"/>
          <w:numId w:val="10"/>
        </w:numPr>
        <w:suppressAutoHyphens w:val="true"/>
        <w:spacing w:lineRule="auto" w:line="276" w:before="0" w:after="0"/>
        <w:jc w:val="both"/>
        <w:textAlignment w:val="baseline"/>
        <w:rPr>
          <w:rFonts w:ascii="Arial" w:hAnsi="Arial" w:cs="Arial"/>
          <w:color w:val="484D7A"/>
          <w:sz w:val="20"/>
          <w:szCs w:val="20"/>
        </w:rPr>
      </w:pPr>
      <w:r>
        <w:rPr>
          <w:rFonts w:cs="Arial" w:ascii="Arial" w:hAnsi="Arial"/>
          <w:color w:val="484D7A"/>
          <w:sz w:val="20"/>
          <w:szCs w:val="20"/>
        </w:rPr>
        <w:t xml:space="preserve">La </w:t>
      </w:r>
      <w:r>
        <w:rPr>
          <w:rFonts w:cs="Arial" w:ascii="Arial" w:hAnsi="Arial"/>
          <w:b/>
          <w:bCs/>
          <w:color w:val="484D7A"/>
          <w:sz w:val="20"/>
          <w:szCs w:val="20"/>
        </w:rPr>
        <w:t>base de données population</w:t>
      </w:r>
      <w:r>
        <w:rPr>
          <w:rFonts w:cs="Arial" w:ascii="Arial" w:hAnsi="Arial"/>
          <w:color w:val="484D7A"/>
          <w:sz w:val="20"/>
          <w:szCs w:val="20"/>
        </w:rPr>
        <w:t>, a été établie par le Cerema à partir d’une exploitation de la BDTOPO de l’IGN et des ratios de population/logement mis à disposition pour chaque commune par l’INSEE ;</w:t>
      </w:r>
    </w:p>
    <w:p>
      <w:pPr>
        <w:pStyle w:val="ListParagraph"/>
        <w:numPr>
          <w:ilvl w:val="0"/>
          <w:numId w:val="10"/>
        </w:numPr>
        <w:suppressAutoHyphens w:val="true"/>
        <w:spacing w:lineRule="auto" w:line="276" w:before="0" w:after="0"/>
        <w:jc w:val="both"/>
        <w:textAlignment w:val="baseline"/>
        <w:rPr>
          <w:rFonts w:ascii="Arial" w:hAnsi="Arial" w:cs="Arial"/>
          <w:color w:val="484D7A"/>
          <w:sz w:val="20"/>
          <w:szCs w:val="20"/>
        </w:rPr>
      </w:pPr>
      <w:r>
        <w:rPr>
          <w:rFonts w:cs="Arial" w:ascii="Arial" w:hAnsi="Arial"/>
          <w:color w:val="484D7A"/>
          <w:sz w:val="20"/>
          <w:szCs w:val="20"/>
        </w:rPr>
        <w:t xml:space="preserve">La </w:t>
      </w:r>
      <w:r>
        <w:rPr>
          <w:rFonts w:cs="Arial" w:ascii="Arial" w:hAnsi="Arial"/>
          <w:b/>
          <w:bCs/>
          <w:color w:val="484D7A"/>
          <w:sz w:val="20"/>
          <w:szCs w:val="20"/>
        </w:rPr>
        <w:t>base de données nature des sols</w:t>
      </w:r>
      <w:r>
        <w:rPr>
          <w:rFonts w:cs="Arial" w:ascii="Arial" w:hAnsi="Arial"/>
          <w:color w:val="484D7A"/>
          <w:sz w:val="20"/>
          <w:szCs w:val="20"/>
        </w:rPr>
        <w:t>, a été élaborée par le Cerema à partir du référentiel européen d’occupation du sol Corine Land Cover (CLC) ;</w:t>
      </w:r>
    </w:p>
    <w:p>
      <w:pPr>
        <w:pStyle w:val="ListParagraph"/>
        <w:numPr>
          <w:ilvl w:val="0"/>
          <w:numId w:val="10"/>
        </w:numPr>
        <w:suppressAutoHyphens w:val="true"/>
        <w:spacing w:lineRule="auto" w:line="276" w:before="0" w:after="0"/>
        <w:jc w:val="both"/>
        <w:textAlignment w:val="baseline"/>
        <w:rPr>
          <w:rFonts w:ascii="Arial" w:hAnsi="Arial" w:cs="Arial"/>
          <w:color w:val="484D7A"/>
          <w:sz w:val="20"/>
          <w:szCs w:val="20"/>
        </w:rPr>
      </w:pPr>
      <w:r>
        <w:rPr>
          <w:rFonts w:cs="Arial" w:ascii="Arial" w:hAnsi="Arial"/>
          <w:color w:val="484D7A"/>
          <w:sz w:val="20"/>
          <w:szCs w:val="20"/>
        </w:rPr>
        <w:t xml:space="preserve">La </w:t>
      </w:r>
      <w:r>
        <w:rPr>
          <w:rFonts w:cs="Arial" w:ascii="Arial" w:hAnsi="Arial"/>
          <w:b/>
          <w:bCs/>
          <w:color w:val="484D7A"/>
          <w:sz w:val="20"/>
          <w:szCs w:val="20"/>
        </w:rPr>
        <w:t>base de données relief</w:t>
      </w:r>
      <w:r>
        <w:rPr>
          <w:rFonts w:cs="Arial" w:ascii="Arial" w:hAnsi="Arial"/>
          <w:color w:val="484D7A"/>
          <w:sz w:val="20"/>
          <w:szCs w:val="20"/>
        </w:rPr>
        <w:t>, a été consolidée par le Cerema à partir des bases orographie, hydrographie, BDALTI, couche de voies routières et ferroviaires de l’IGN.</w:t>
      </w:r>
    </w:p>
    <w:p>
      <w:pPr>
        <w:pStyle w:val="Standard"/>
        <w:rPr/>
      </w:pPr>
      <w:r>
        <w:rPr/>
      </w:r>
    </w:p>
    <w:p>
      <w:pPr>
        <w:pStyle w:val="Standard"/>
        <w:rPr>
          <w:sz w:val="22"/>
          <w:szCs w:val="22"/>
        </w:rPr>
      </w:pPr>
      <w:r>
        <w:rPr>
          <w:sz w:val="22"/>
          <w:szCs w:val="22"/>
        </w:rPr>
        <w:t>Ces bases de données ont fait l’objet d’un travail de mise au format au GéoStandard de la COVADIS « Bruit dans l’Environnement – Partie 2 (données d’entrée) » pour ce qui concerne les données routières et ferroviaires et aux standards Cerema pour toutes les autres.</w:t>
      </w:r>
    </w:p>
    <w:p>
      <w:pPr>
        <w:pStyle w:val="Normal"/>
        <w:rPr>
          <w:color w:val="484D7A"/>
          <w:sz w:val="20"/>
          <w:szCs w:val="20"/>
        </w:rPr>
      </w:pPr>
      <w:r>
        <w:rPr>
          <w:color w:val="484D7A"/>
          <w:sz w:val="20"/>
          <w:szCs w:val="20"/>
        </w:rPr>
      </w:r>
    </w:p>
    <w:p>
      <w:pPr>
        <w:pStyle w:val="Titre2"/>
        <w:numPr>
          <w:ilvl w:val="1"/>
          <w:numId w:val="2"/>
        </w:numPr>
        <w:jc w:val="both"/>
        <w:rPr>
          <w:rFonts w:ascii="Arial" w:hAnsi="Arial" w:cs="Arial"/>
          <w:color w:val="484D7A"/>
        </w:rPr>
      </w:pPr>
      <w:bookmarkStart w:id="16" w:name="_Toc102381441"/>
      <w:r>
        <w:rPr>
          <w:rFonts w:cs="Arial" w:ascii="Arial" w:hAnsi="Arial"/>
          <w:color w:val="484D7A"/>
        </w:rPr>
        <w:t>La réalisation des cartes de bruit stratégiques des grandes infrastructures de transport terrestre (GITT)</w:t>
      </w:r>
      <w:bookmarkEnd w:id="16"/>
    </w:p>
    <w:p>
      <w:pPr>
        <w:pStyle w:val="Normal"/>
        <w:rPr/>
      </w:pPr>
      <w:r>
        <w:rPr/>
      </w:r>
    </w:p>
    <w:p>
      <w:pPr>
        <w:pStyle w:val="Standard"/>
        <w:rPr>
          <w:sz w:val="22"/>
          <w:szCs w:val="22"/>
        </w:rPr>
      </w:pPr>
      <w:r>
        <w:rPr>
          <w:sz w:val="22"/>
          <w:szCs w:val="22"/>
        </w:rPr>
        <w:t>Les CBS GITT sont calculées grâce au</w:t>
      </w:r>
      <w:r>
        <w:rPr>
          <w:b/>
          <w:bCs/>
          <w:sz w:val="22"/>
          <w:szCs w:val="22"/>
        </w:rPr>
        <w:t xml:space="preserve"> logiciel libre de modélisation acoustique NoiseModelling</w:t>
      </w:r>
      <w:r>
        <w:rPr>
          <w:sz w:val="22"/>
          <w:szCs w:val="22"/>
        </w:rPr>
        <w:t xml:space="preserve"> développé par l’</w:t>
      </w:r>
      <w:r>
        <w:rPr>
          <w:b/>
          <w:bCs/>
          <w:sz w:val="22"/>
          <w:szCs w:val="22"/>
        </w:rPr>
        <w:t>Unité Mixte de Recherche en Acoustique Environnementale (UMRAE)</w:t>
      </w:r>
      <w:r>
        <w:rPr>
          <w:sz w:val="22"/>
          <w:szCs w:val="22"/>
        </w:rPr>
        <w:t>, un laboratoire de recherche commun à l’Université Gustave Eiffel (UGE) et au Cerema.</w:t>
      </w:r>
    </w:p>
    <w:p>
      <w:pPr>
        <w:pStyle w:val="Standard"/>
        <w:rPr>
          <w:sz w:val="22"/>
          <w:szCs w:val="22"/>
        </w:rPr>
      </w:pPr>
      <w:r>
        <w:rPr>
          <w:sz w:val="22"/>
          <w:szCs w:val="22"/>
        </w:rPr>
      </w:r>
    </w:p>
    <w:p>
      <w:pPr>
        <w:pStyle w:val="Standard"/>
        <w:rPr>
          <w:sz w:val="22"/>
          <w:szCs w:val="22"/>
        </w:rPr>
      </w:pPr>
      <w:r>
        <w:rPr>
          <w:sz w:val="22"/>
          <w:szCs w:val="22"/>
        </w:rPr>
        <w:t>Dans le cadre d’un partenariat, le Cerema, l’UGE et le CNRS ont entrepris des travaux pour réaliser la mise en cohérence des bases de données consolidées par le Cerema et le modèle de calcul acoustique de NoiseModelling. Ce travail de couplage a permis :</w:t>
      </w:r>
    </w:p>
    <w:p>
      <w:pPr>
        <w:pStyle w:val="ListParagraph"/>
        <w:numPr>
          <w:ilvl w:val="0"/>
          <w:numId w:val="10"/>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D’intégrer les nouvelles spécifications exigées par la Commission Européenne pour la 4</w:t>
      </w:r>
      <w:r>
        <w:rPr>
          <w:rFonts w:cs="Arial" w:ascii="Arial" w:hAnsi="Arial"/>
          <w:color w:val="484D7A"/>
          <w:sz w:val="22"/>
          <w:szCs w:val="22"/>
          <w:vertAlign w:val="superscript"/>
        </w:rPr>
        <w:t>ème</w:t>
      </w:r>
      <w:r>
        <w:rPr>
          <w:rFonts w:cs="Arial" w:ascii="Arial" w:hAnsi="Arial"/>
          <w:color w:val="484D7A"/>
          <w:sz w:val="22"/>
          <w:szCs w:val="22"/>
        </w:rPr>
        <w:t xml:space="preserve"> échéance, et notamment l’intégration de la méthode de calcul CNOSSOS imposée par l’annexe II de la Directive Bruit modifiée et transposée au droit français par l’arrêté du 4 avril 2006 modifié ;</w:t>
      </w:r>
    </w:p>
    <w:p>
      <w:pPr>
        <w:pStyle w:val="ListParagraph"/>
        <w:numPr>
          <w:ilvl w:val="0"/>
          <w:numId w:val="10"/>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D’automatiser le calcul des CBS pour cartographier l’ensemble du linéaire GITT éligible.</w:t>
      </w:r>
    </w:p>
    <w:p>
      <w:pPr>
        <w:pStyle w:val="Normal"/>
        <w:rPr>
          <w:rFonts w:ascii="Arial" w:hAnsi="Arial" w:cs="Arial"/>
          <w:color w:val="484D7A"/>
          <w:sz w:val="22"/>
          <w:szCs w:val="22"/>
        </w:rPr>
      </w:pPr>
      <w:r>
        <w:rPr>
          <w:rFonts w:cs="Arial" w:ascii="Arial" w:hAnsi="Arial"/>
          <w:color w:val="484D7A"/>
          <w:sz w:val="22"/>
          <w:szCs w:val="22"/>
        </w:rPr>
      </w:r>
      <w:r>
        <w:br w:type="page"/>
      </w:r>
    </w:p>
    <w:p>
      <w:pPr>
        <w:pStyle w:val="Normal"/>
        <w:jc w:val="both"/>
        <w:rPr>
          <w:rFonts w:ascii="Arial" w:hAnsi="Arial" w:cs="Arial"/>
          <w:color w:val="484D7A"/>
          <w:sz w:val="22"/>
          <w:szCs w:val="22"/>
        </w:rPr>
      </w:pPr>
      <w:r>
        <w:rPr>
          <w:rFonts w:cs="Arial" w:ascii="Arial" w:hAnsi="Arial"/>
          <w:color w:val="484D7A"/>
          <w:sz w:val="22"/>
          <w:szCs w:val="22"/>
        </w:rPr>
        <w:t>Le changement d’outil de modélisation acoustique et l’entrée en vigueur de la méthode européenne CNOSSOS peuvent engendrer quelques différences mineures par rapport aux CBS des échéances précédentes. Ces différences sont inhérentes au processus de modélisation acoustique, qui n’a pas vocation à se substituer à des mesures acoustiques in situ. De la même manière, l’utilisation d’un autre logiciel de modélisation ainsi qu’une différence dans les données d’entrée pourront engendrer des différences entre les CBS établies au titre des GITT routières et ferroviaires hors réseaux concédés, celles des concessionnaires autoroutiers et ferroviaires et celles des agglomérations.</w:t>
      </w:r>
    </w:p>
    <w:p>
      <w:pPr>
        <w:pStyle w:val="Normal"/>
        <w:rPr>
          <w:color w:val="484D7A"/>
        </w:rPr>
      </w:pPr>
      <w:r>
        <w:rPr>
          <w:color w:val="484D7A"/>
        </w:rPr>
      </w:r>
    </w:p>
    <w:p>
      <w:pPr>
        <w:pStyle w:val="Titre2"/>
        <w:numPr>
          <w:ilvl w:val="1"/>
          <w:numId w:val="2"/>
        </w:numPr>
        <w:jc w:val="both"/>
        <w:rPr>
          <w:rFonts w:ascii="Arial" w:hAnsi="Arial" w:cs="Arial"/>
          <w:color w:val="484D7A"/>
        </w:rPr>
      </w:pPr>
      <w:bookmarkStart w:id="17" w:name="_Toc102381442"/>
      <w:r>
        <w:rPr>
          <w:rFonts w:cs="Arial" w:ascii="Arial" w:hAnsi="Arial"/>
          <w:color w:val="484D7A"/>
        </w:rPr>
        <w:t>Les données d’exposition des populations</w:t>
      </w:r>
      <w:bookmarkEnd w:id="17"/>
    </w:p>
    <w:p>
      <w:pPr>
        <w:pStyle w:val="Normal"/>
        <w:rPr/>
      </w:pPr>
      <w:r>
        <w:rPr/>
      </w:r>
    </w:p>
    <w:p>
      <w:pPr>
        <w:pStyle w:val="Normal"/>
        <w:jc w:val="both"/>
        <w:rPr>
          <w:rFonts w:ascii="Arial" w:hAnsi="Arial" w:cs="Arial"/>
          <w:color w:val="484D7A"/>
          <w:sz w:val="22"/>
          <w:szCs w:val="22"/>
        </w:rPr>
      </w:pPr>
      <w:r>
        <w:rPr>
          <w:rFonts w:cs="Arial" w:ascii="Arial" w:hAnsi="Arial"/>
          <w:color w:val="484D7A"/>
          <w:sz w:val="22"/>
          <w:szCs w:val="22"/>
        </w:rPr>
        <w:t xml:space="preserve">La cartographie de l’exposition des territoires au bruit des infrastructures de transport terrestre s’accompagne de statistiques. Pour chaque infrastructure, des tableaux d’exposition des populations indiquent pour chaque plage de niveaux sonores et indice : </w:t>
      </w:r>
    </w:p>
    <w:p>
      <w:pPr>
        <w:pStyle w:val="ListParagraph"/>
        <w:numPr>
          <w:ilvl w:val="0"/>
          <w:numId w:val="13"/>
        </w:numPr>
        <w:suppressAutoHyphens w:val="true"/>
        <w:spacing w:lineRule="auto" w:line="276" w:before="0" w:after="0"/>
        <w:jc w:val="both"/>
        <w:textAlignment w:val="baseline"/>
        <w:rPr>
          <w:rFonts w:ascii="Arial" w:hAnsi="Arial" w:cs="Arial"/>
          <w:color w:val="484D7A"/>
          <w:sz w:val="22"/>
          <w:szCs w:val="22"/>
        </w:rPr>
      </w:pPr>
      <w:r>
        <w:rPr>
          <w:rFonts w:eastAsia="F" w:cs="Arial" w:ascii="Arial" w:hAnsi="Arial"/>
          <w:color w:val="484D7A"/>
          <w:sz w:val="22"/>
          <w:szCs w:val="22"/>
        </w:rPr>
        <w:t>Le nombre de personnes exposées au bruit ;</w:t>
      </w:r>
    </w:p>
    <w:p>
      <w:pPr>
        <w:pStyle w:val="ListParagraph"/>
        <w:numPr>
          <w:ilvl w:val="0"/>
          <w:numId w:val="13"/>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Le nombre de logements exposés au bruit ;</w:t>
      </w:r>
    </w:p>
    <w:p>
      <w:pPr>
        <w:pStyle w:val="ListParagraph"/>
        <w:numPr>
          <w:ilvl w:val="0"/>
          <w:numId w:val="13"/>
        </w:numPr>
        <w:suppressAutoHyphens w:val="true"/>
        <w:spacing w:lineRule="auto" w:line="276" w:before="0" w:after="0"/>
        <w:jc w:val="both"/>
        <w:textAlignment w:val="baseline"/>
        <w:rPr>
          <w:rFonts w:ascii="Arial" w:hAnsi="Arial" w:cs="Arial"/>
          <w:color w:val="484D7A"/>
          <w:sz w:val="22"/>
          <w:szCs w:val="22"/>
        </w:rPr>
      </w:pPr>
      <w:r>
        <w:rPr>
          <w:rFonts w:eastAsia="F" w:cs="Arial" w:ascii="Arial" w:hAnsi="Arial"/>
          <w:color w:val="484D7A"/>
          <w:sz w:val="22"/>
          <w:szCs w:val="22"/>
        </w:rPr>
        <w:t>Le nombre d’établissements de santé exposés au bruit ;</w:t>
      </w:r>
    </w:p>
    <w:p>
      <w:pPr>
        <w:pStyle w:val="ListParagraph"/>
        <w:numPr>
          <w:ilvl w:val="0"/>
          <w:numId w:val="13"/>
        </w:numPr>
        <w:suppressAutoHyphens w:val="true"/>
        <w:spacing w:lineRule="auto" w:line="276" w:before="0" w:after="0"/>
        <w:jc w:val="both"/>
        <w:textAlignment w:val="baseline"/>
        <w:rPr>
          <w:rFonts w:ascii="Arial" w:hAnsi="Arial" w:cs="Arial"/>
          <w:color w:val="484D7A"/>
          <w:sz w:val="22"/>
          <w:szCs w:val="22"/>
        </w:rPr>
      </w:pPr>
      <w:r>
        <w:rPr>
          <w:rFonts w:eastAsia="F" w:cs="Arial" w:ascii="Arial" w:hAnsi="Arial"/>
          <w:color w:val="484D7A"/>
          <w:sz w:val="22"/>
          <w:szCs w:val="22"/>
        </w:rPr>
        <w:t>Le nombre d’établissements d’enseignement exposés au bruit.</w:t>
      </w:r>
    </w:p>
    <w:p>
      <w:pPr>
        <w:pStyle w:val="Normal"/>
        <w:suppressAutoHyphens w:val="true"/>
        <w:spacing w:lineRule="auto" w:line="276"/>
        <w:jc w:val="both"/>
        <w:textAlignment w:val="baseline"/>
        <w:rPr>
          <w:rFonts w:ascii="Arial" w:hAnsi="Arial" w:cs="Arial"/>
          <w:color w:val="484D7A"/>
          <w:sz w:val="22"/>
          <w:szCs w:val="22"/>
        </w:rPr>
      </w:pPr>
      <w:r>
        <w:rPr>
          <w:rFonts w:cs="Arial" w:ascii="Arial" w:hAnsi="Arial"/>
          <w:color w:val="484D7A"/>
          <w:sz w:val="22"/>
          <w:szCs w:val="22"/>
        </w:rPr>
      </w:r>
    </w:p>
    <w:p>
      <w:pPr>
        <w:pStyle w:val="Normal"/>
        <w:suppressAutoHyphens w:val="true"/>
        <w:spacing w:lineRule="auto" w:line="276"/>
        <w:jc w:val="both"/>
        <w:textAlignment w:val="baseline"/>
        <w:rPr>
          <w:rFonts w:ascii="Arial" w:hAnsi="Arial" w:cs="Arial"/>
          <w:color w:val="484D7A"/>
          <w:sz w:val="22"/>
          <w:szCs w:val="22"/>
        </w:rPr>
      </w:pPr>
      <w:r>
        <w:rPr>
          <w:rFonts w:cs="Arial" w:ascii="Arial" w:hAnsi="Arial"/>
          <w:color w:val="484D7A"/>
          <w:sz w:val="22"/>
          <w:szCs w:val="22"/>
        </w:rPr>
        <w:t>Les effets nuisibles sont définis dans l’annexe III de la Directive 2002/49/CE modifiée et transposée en droit français part les articles R. 572-5 et R. 572-6 du Code de l’environnement et arrêté du 4 avril 2006 modifié. Le nombre de personnes affectées par ces effets nuisibles est détaillé par effet nuisible et par infrastructure.</w:t>
      </w:r>
    </w:p>
    <w:p>
      <w:pPr>
        <w:pStyle w:val="Normal"/>
        <w:jc w:val="both"/>
        <w:rPr>
          <w:rFonts w:ascii="Arial" w:hAnsi="Arial" w:eastAsia="" w:cs="Arial" w:eastAsiaTheme="majorEastAsia"/>
          <w:bCs/>
          <w:color w:val="484D7A"/>
          <w:sz w:val="22"/>
          <w:szCs w:val="22"/>
        </w:rPr>
      </w:pPr>
      <w:r>
        <w:rPr>
          <w:rFonts w:eastAsia="" w:cs="Arial" w:eastAsiaTheme="majorEastAsia" w:ascii="Arial" w:hAnsi="Arial"/>
          <w:bCs/>
          <w:color w:val="484D7A"/>
          <w:sz w:val="22"/>
          <w:szCs w:val="22"/>
        </w:rPr>
      </w:r>
    </w:p>
    <w:p>
      <w:pPr>
        <w:pStyle w:val="Normal"/>
        <w:jc w:val="both"/>
        <w:rPr>
          <w:rFonts w:ascii="Arial" w:hAnsi="Arial" w:eastAsia="" w:cs="Arial" w:eastAsiaTheme="majorEastAsia"/>
          <w:bCs/>
          <w:color w:val="484D7A"/>
          <w:sz w:val="22"/>
          <w:szCs w:val="22"/>
        </w:rPr>
      </w:pPr>
      <w:r>
        <w:rPr>
          <w:rFonts w:eastAsia="" w:cs="Arial" w:ascii="Arial" w:hAnsi="Arial" w:eastAsiaTheme="majorEastAsia"/>
          <w:bCs/>
          <w:color w:val="484D7A"/>
          <w:sz w:val="22"/>
          <w:szCs w:val="22"/>
        </w:rPr>
        <w:t>La surface exposée (en km</w:t>
      </w:r>
      <w:r>
        <w:rPr>
          <w:rFonts w:eastAsia="" w:cs="Arial" w:ascii="Arial" w:hAnsi="Arial" w:eastAsiaTheme="majorEastAsia"/>
          <w:bCs/>
          <w:color w:val="484D7A"/>
          <w:sz w:val="22"/>
          <w:szCs w:val="22"/>
          <w:vertAlign w:val="superscript"/>
        </w:rPr>
        <w:t>2</w:t>
      </w:r>
      <w:r>
        <w:rPr>
          <w:rFonts w:eastAsia="" w:cs="Arial" w:ascii="Arial" w:hAnsi="Arial" w:eastAsiaTheme="majorEastAsia"/>
          <w:bCs/>
          <w:color w:val="484D7A"/>
          <w:sz w:val="22"/>
          <w:szCs w:val="22"/>
        </w:rPr>
        <w:t>) est aussi fournie pour chaque infrastructure pour les valeurs de L</w:t>
      </w:r>
      <w:r>
        <w:rPr>
          <w:rFonts w:eastAsia="" w:cs="Arial" w:ascii="Arial" w:hAnsi="Arial" w:eastAsiaTheme="majorEastAsia"/>
          <w:bCs/>
          <w:color w:val="484D7A"/>
          <w:sz w:val="22"/>
          <w:szCs w:val="22"/>
          <w:vertAlign w:val="subscript"/>
        </w:rPr>
        <w:t>den</w:t>
      </w:r>
      <w:r>
        <w:rPr>
          <w:rFonts w:eastAsia="" w:cs="Arial" w:ascii="Arial" w:hAnsi="Arial" w:eastAsiaTheme="majorEastAsia"/>
          <w:bCs/>
          <w:color w:val="484D7A"/>
          <w:sz w:val="22"/>
          <w:szCs w:val="22"/>
        </w:rPr>
        <w:t xml:space="preserve"> supérieures à 55, 65 et 75 dB(A).</w:t>
      </w:r>
    </w:p>
    <w:p>
      <w:pPr>
        <w:pStyle w:val="Normal"/>
        <w:jc w:val="both"/>
        <w:rPr>
          <w:rFonts w:ascii="Arial" w:hAnsi="Arial" w:eastAsia="" w:cs="Arial" w:eastAsiaTheme="majorEastAsia"/>
          <w:bCs/>
          <w:color w:val="484D7A"/>
          <w:sz w:val="22"/>
          <w:szCs w:val="22"/>
        </w:rPr>
      </w:pPr>
      <w:r>
        <w:rPr>
          <w:rFonts w:eastAsia="" w:cs="Arial" w:eastAsiaTheme="majorEastAsia" w:ascii="Arial" w:hAnsi="Arial"/>
          <w:bCs/>
          <w:color w:val="484D7A"/>
          <w:sz w:val="22"/>
          <w:szCs w:val="22"/>
        </w:rPr>
      </w:r>
    </w:p>
    <w:p>
      <w:pPr>
        <w:pStyle w:val="Normal"/>
        <w:jc w:val="both"/>
        <w:rPr>
          <w:rFonts w:ascii="Arial" w:hAnsi="Arial" w:eastAsia="" w:cs="Arial" w:eastAsiaTheme="majorEastAsia"/>
          <w:bCs/>
          <w:color w:val="484D7A"/>
          <w:sz w:val="22"/>
          <w:szCs w:val="22"/>
        </w:rPr>
      </w:pPr>
      <w:r>
        <w:rPr>
          <w:rFonts w:eastAsia="" w:cs="Arial" w:ascii="Arial" w:hAnsi="Arial" w:eastAsiaTheme="majorEastAsia"/>
          <w:bCs/>
          <w:color w:val="484D7A"/>
          <w:sz w:val="22"/>
          <w:szCs w:val="22"/>
        </w:rPr>
        <w:t>Les données d’exposition des populations sont estimées suivant les recommandations prescrites au paragraphe 2.8 de l’annexe II de la Directive 2002/49/CE.</w:t>
      </w:r>
    </w:p>
    <w:p>
      <w:pPr>
        <w:pStyle w:val="Normal"/>
        <w:rPr/>
      </w:pPr>
      <w:r>
        <w:rPr/>
      </w:r>
    </w:p>
    <w:p>
      <w:pPr>
        <w:pStyle w:val="Normal"/>
        <w:rPr/>
      </w:pPr>
      <w:r>
        <w:rPr/>
        <mc:AlternateContent>
          <mc:Choice Requires="wps">
            <w:drawing>
              <wp:anchor behindDoc="0" distT="3175" distB="0" distL="117475" distR="114300" simplePos="0" locked="0" layoutInCell="0" allowOverlap="1" relativeHeight="20" wp14:anchorId="5AB65633">
                <wp:simplePos x="0" y="0"/>
                <wp:positionH relativeFrom="column">
                  <wp:posOffset>0</wp:posOffset>
                </wp:positionH>
                <wp:positionV relativeFrom="paragraph">
                  <wp:posOffset>73025</wp:posOffset>
                </wp:positionV>
                <wp:extent cx="6489700" cy="1215390"/>
                <wp:effectExtent l="0" t="0" r="13335" b="17780"/>
                <wp:wrapSquare wrapText="bothSides"/>
                <wp:docPr id="29" name="Zone de texte 4"/>
                <a:graphic xmlns:a="http://schemas.openxmlformats.org/drawingml/2006/main">
                  <a:graphicData uri="http://schemas.microsoft.com/office/word/2010/wordprocessingShape">
                    <wps:wsp>
                      <wps:cNvSpPr/>
                      <wps:spPr>
                        <a:xfrm>
                          <a:off x="0" y="0"/>
                          <a:ext cx="6489000" cy="1214640"/>
                        </a:xfrm>
                        <a:prstGeom prst="rect">
                          <a:avLst/>
                        </a:prstGeom>
                        <a:noFill/>
                        <a:ln w="6350">
                          <a:solidFill>
                            <a:srgbClr val="484d7a"/>
                          </a:solidFill>
                          <a:round/>
                        </a:ln>
                      </wps:spPr>
                      <wps:style>
                        <a:lnRef idx="0"/>
                        <a:fillRef idx="0"/>
                        <a:effectRef idx="0"/>
                        <a:fontRef idx="minor"/>
                      </wps:style>
                      <wps:txbx>
                        <w:txbxContent>
                          <w:p>
                            <w:pPr>
                              <w:pStyle w:val="Contenudecadre"/>
                              <w:rPr>
                                <w:rFonts w:ascii="Arial" w:hAnsi="Arial" w:cs="Arial"/>
                                <w:color w:val="484D7A"/>
                                <w:sz w:val="22"/>
                                <w:szCs w:val="22"/>
                              </w:rPr>
                            </w:pPr>
                            <w:r>
                              <w:rPr>
                                <w:rFonts w:cs="Arial" w:ascii="Arial" w:hAnsi="Arial"/>
                                <w:color w:val="484D7A"/>
                                <w:sz w:val="22"/>
                                <w:szCs w:val="22"/>
                              </w:rPr>
                              <w:t xml:space="preserve">Pour information : </w:t>
                            </w:r>
                          </w:p>
                          <w:p>
                            <w:pPr>
                              <w:pStyle w:val="Contenudecadre"/>
                              <w:rPr>
                                <w:rFonts w:ascii="Arial" w:hAnsi="Arial" w:cs="Arial"/>
                                <w:color w:val="484D7A"/>
                                <w:sz w:val="22"/>
                                <w:szCs w:val="22"/>
                              </w:rPr>
                            </w:pPr>
                            <w:r>
                              <w:rPr>
                                <w:rFonts w:cs="Arial" w:ascii="Arial" w:hAnsi="Arial"/>
                                <w:color w:val="484D7A"/>
                                <w:sz w:val="22"/>
                                <w:szCs w:val="22"/>
                              </w:rPr>
                            </w:r>
                          </w:p>
                          <w:p>
                            <w:pPr>
                              <w:pStyle w:val="Contenudecadre"/>
                              <w:jc w:val="both"/>
                              <w:rPr>
                                <w:rFonts w:ascii="Arial" w:hAnsi="Arial" w:cs="Arial"/>
                                <w:color w:val="484D7A"/>
                                <w:sz w:val="22"/>
                                <w:szCs w:val="22"/>
                              </w:rPr>
                            </w:pPr>
                            <w:r>
                              <w:rPr>
                                <w:rFonts w:cs="Arial" w:ascii="Arial" w:hAnsi="Arial"/>
                                <w:color w:val="484D7A"/>
                                <w:sz w:val="22"/>
                                <w:szCs w:val="22"/>
                              </w:rPr>
                              <w:t>Pour effectuer le décompte des populations impactées par le bruit, l’exposition des bâtiments est caractérisée par les indicateurs L</w:t>
                            </w:r>
                            <w:r>
                              <w:rPr>
                                <w:rFonts w:cs="Arial" w:ascii="Arial" w:hAnsi="Arial"/>
                                <w:color w:val="484D7A"/>
                                <w:sz w:val="22"/>
                                <w:szCs w:val="22"/>
                                <w:vertAlign w:val="subscript"/>
                              </w:rPr>
                              <w:t>den</w:t>
                            </w:r>
                            <w:r>
                              <w:rPr>
                                <w:rFonts w:cs="Arial" w:ascii="Arial" w:hAnsi="Arial"/>
                                <w:color w:val="484D7A"/>
                                <w:sz w:val="22"/>
                                <w:szCs w:val="22"/>
                              </w:rPr>
                              <w:t xml:space="preserve"> et L</w:t>
                            </w:r>
                            <w:r>
                              <w:rPr>
                                <w:rFonts w:cs="Arial" w:ascii="Arial" w:hAnsi="Arial"/>
                                <w:color w:val="484D7A"/>
                                <w:sz w:val="22"/>
                                <w:szCs w:val="22"/>
                                <w:vertAlign w:val="subscript"/>
                              </w:rPr>
                              <w:t xml:space="preserve">night </w:t>
                            </w:r>
                            <w:r>
                              <w:rPr>
                                <w:rFonts w:cs="Arial" w:ascii="Arial" w:hAnsi="Arial"/>
                                <w:color w:val="484D7A"/>
                                <w:sz w:val="22"/>
                                <w:szCs w:val="22"/>
                              </w:rPr>
                              <w:t xml:space="preserve">en champ libre, assimilable à une configuration « fenêtre ouverte » et pour laquelle on ne tient pas compte de la dernière réflexion de façade. Vis-à-vis des représentations graphiques des cartes cela se traduit par une correction de </w:t>
                            </w:r>
                            <w:r>
                              <w:rPr>
                                <w:rFonts w:cs="Arial" w:ascii="Arial" w:hAnsi="Arial"/>
                                <w:b/>
                                <w:color w:val="484D7A"/>
                                <w:sz w:val="22"/>
                                <w:szCs w:val="22"/>
                              </w:rPr>
                              <w:t>–3 dB(A)</w:t>
                            </w:r>
                            <w:r>
                              <w:rPr>
                                <w:rFonts w:cs="Arial" w:ascii="Arial" w:hAnsi="Arial"/>
                                <w:color w:val="484D7A"/>
                                <w:sz w:val="22"/>
                                <w:szCs w:val="22"/>
                              </w:rPr>
                              <w:t xml:space="preserve"> des niveaux de bruit perçus en tout point de l’espace. </w:t>
                            </w:r>
                          </w:p>
                        </w:txbxContent>
                      </wps:txbx>
                      <wps:bodyPr>
                        <a:prstTxWarp prst="textNoShape"/>
                        <a:spAutoFit/>
                      </wps:bodyPr>
                    </wps:wsp>
                  </a:graphicData>
                </a:graphic>
              </wp:anchor>
            </w:drawing>
          </mc:Choice>
          <mc:Fallback>
            <w:pict>
              <v:rect id="shape_0" ID="Zone de texte 4" path="m0,0l-2147483645,0l-2147483645,-2147483646l0,-2147483646xe" stroked="t" style="position:absolute;margin-left:0pt;margin-top:5.75pt;width:510.9pt;height:95.6pt;mso-wrap-style:square;v-text-anchor:top" wp14:anchorId="5AB65633">
                <v:fill o:detectmouseclick="t" on="false"/>
                <v:stroke color="#484d7a" weight="6480" joinstyle="round" endcap="flat"/>
                <v:textbox>
                  <w:txbxContent>
                    <w:p>
                      <w:pPr>
                        <w:pStyle w:val="Contenudecadre"/>
                        <w:rPr>
                          <w:rFonts w:ascii="Arial" w:hAnsi="Arial" w:cs="Arial"/>
                          <w:color w:val="484D7A"/>
                          <w:sz w:val="22"/>
                          <w:szCs w:val="22"/>
                        </w:rPr>
                      </w:pPr>
                      <w:r>
                        <w:rPr>
                          <w:rFonts w:cs="Arial" w:ascii="Arial" w:hAnsi="Arial"/>
                          <w:color w:val="484D7A"/>
                          <w:sz w:val="22"/>
                          <w:szCs w:val="22"/>
                        </w:rPr>
                        <w:t xml:space="preserve">Pour information : </w:t>
                      </w:r>
                    </w:p>
                    <w:p>
                      <w:pPr>
                        <w:pStyle w:val="Contenudecadre"/>
                        <w:rPr>
                          <w:rFonts w:ascii="Arial" w:hAnsi="Arial" w:cs="Arial"/>
                          <w:color w:val="484D7A"/>
                          <w:sz w:val="22"/>
                          <w:szCs w:val="22"/>
                        </w:rPr>
                      </w:pPr>
                      <w:r>
                        <w:rPr>
                          <w:rFonts w:cs="Arial" w:ascii="Arial" w:hAnsi="Arial"/>
                          <w:color w:val="484D7A"/>
                          <w:sz w:val="22"/>
                          <w:szCs w:val="22"/>
                        </w:rPr>
                      </w:r>
                    </w:p>
                    <w:p>
                      <w:pPr>
                        <w:pStyle w:val="Contenudecadre"/>
                        <w:jc w:val="both"/>
                        <w:rPr>
                          <w:rFonts w:ascii="Arial" w:hAnsi="Arial" w:cs="Arial"/>
                          <w:color w:val="484D7A"/>
                          <w:sz w:val="22"/>
                          <w:szCs w:val="22"/>
                        </w:rPr>
                      </w:pPr>
                      <w:r>
                        <w:rPr>
                          <w:rFonts w:cs="Arial" w:ascii="Arial" w:hAnsi="Arial"/>
                          <w:color w:val="484D7A"/>
                          <w:sz w:val="22"/>
                          <w:szCs w:val="22"/>
                        </w:rPr>
                        <w:t>Pour effectuer le décompte des populations impactées par le bruit, l’exposition des bâtiments est caractérisée par les indicateurs L</w:t>
                      </w:r>
                      <w:r>
                        <w:rPr>
                          <w:rFonts w:cs="Arial" w:ascii="Arial" w:hAnsi="Arial"/>
                          <w:color w:val="484D7A"/>
                          <w:sz w:val="22"/>
                          <w:szCs w:val="22"/>
                          <w:vertAlign w:val="subscript"/>
                        </w:rPr>
                        <w:t>den</w:t>
                      </w:r>
                      <w:r>
                        <w:rPr>
                          <w:rFonts w:cs="Arial" w:ascii="Arial" w:hAnsi="Arial"/>
                          <w:color w:val="484D7A"/>
                          <w:sz w:val="22"/>
                          <w:szCs w:val="22"/>
                        </w:rPr>
                        <w:t xml:space="preserve"> et L</w:t>
                      </w:r>
                      <w:r>
                        <w:rPr>
                          <w:rFonts w:cs="Arial" w:ascii="Arial" w:hAnsi="Arial"/>
                          <w:color w:val="484D7A"/>
                          <w:sz w:val="22"/>
                          <w:szCs w:val="22"/>
                          <w:vertAlign w:val="subscript"/>
                        </w:rPr>
                        <w:t xml:space="preserve">night </w:t>
                      </w:r>
                      <w:r>
                        <w:rPr>
                          <w:rFonts w:cs="Arial" w:ascii="Arial" w:hAnsi="Arial"/>
                          <w:color w:val="484D7A"/>
                          <w:sz w:val="22"/>
                          <w:szCs w:val="22"/>
                        </w:rPr>
                        <w:t xml:space="preserve">en champ libre, assimilable à une configuration « fenêtre ouverte » et pour laquelle on ne tient pas compte de la dernière réflexion de façade. Vis-à-vis des représentations graphiques des cartes cela se traduit par une correction de </w:t>
                      </w:r>
                      <w:r>
                        <w:rPr>
                          <w:rFonts w:cs="Arial" w:ascii="Arial" w:hAnsi="Arial"/>
                          <w:b/>
                          <w:color w:val="484D7A"/>
                          <w:sz w:val="22"/>
                          <w:szCs w:val="22"/>
                        </w:rPr>
                        <w:t>–3 dB(A)</w:t>
                      </w:r>
                      <w:r>
                        <w:rPr>
                          <w:rFonts w:cs="Arial" w:ascii="Arial" w:hAnsi="Arial"/>
                          <w:color w:val="484D7A"/>
                          <w:sz w:val="22"/>
                          <w:szCs w:val="22"/>
                        </w:rPr>
                        <w:t xml:space="preserve"> des niveaux de bruit perçus en tout point de l’espace. </w:t>
                      </w:r>
                    </w:p>
                  </w:txbxContent>
                </v:textbox>
                <w10:wrap type="square"/>
              </v:rect>
            </w:pict>
          </mc:Fallback>
        </mc:AlternateContent>
      </w:r>
    </w:p>
    <w:p>
      <w:pPr>
        <w:pStyle w:val="Normal"/>
        <w:jc w:val="both"/>
        <w:rPr>
          <w:rFonts w:ascii="Arial" w:hAnsi="Arial" w:cs="Arial"/>
          <w:color w:val="484D7A"/>
          <w:sz w:val="22"/>
          <w:szCs w:val="22"/>
        </w:rPr>
      </w:pPr>
      <w:r>
        <w:rPr>
          <w:rFonts w:cs="Arial" w:ascii="Arial" w:hAnsi="Arial"/>
          <w:color w:val="484D7A"/>
          <w:sz w:val="22"/>
          <w:szCs w:val="22"/>
        </w:rPr>
        <w:t>Les données d’exposition des populations sont obtenues sur la base de récepteurs en façade des bâtiments auxquels la modélisation acoustique attribue un niveau de bruit. Les décomptes sont ensuite opérés grâce aux bases de données de population et de bâtiments sensibles produites. Ces résultats sont le fruit de la modélisation acoustique, qui n’a pas vocation à suppléer des mesures acoustiques. La qualité de ces résultats dépend également des données d’entrée, dont l’objectif est de fournir une vision macroscopique du territoire.</w:t>
      </w:r>
    </w:p>
    <w:p>
      <w:pPr>
        <w:pStyle w:val="Normal"/>
        <w:jc w:val="both"/>
        <w:rPr>
          <w:rFonts w:ascii="Arial" w:hAnsi="Arial" w:cs="Arial"/>
          <w:color w:val="484D7A"/>
          <w:sz w:val="22"/>
          <w:szCs w:val="22"/>
        </w:rPr>
      </w:pPr>
      <w:r>
        <w:rPr>
          <w:rFonts w:cs="Arial" w:ascii="Arial" w:hAnsi="Arial"/>
          <w:color w:val="484D7A"/>
          <w:sz w:val="22"/>
          <w:szCs w:val="22"/>
        </w:rPr>
      </w:r>
    </w:p>
    <w:p>
      <w:pPr>
        <w:pStyle w:val="Titre1"/>
        <w:numPr>
          <w:ilvl w:val="0"/>
          <w:numId w:val="2"/>
        </w:numPr>
        <w:rPr>
          <w:rFonts w:ascii="Arial" w:hAnsi="Arial" w:cs="Arial"/>
          <w:b/>
          <w:b/>
          <w:bCs/>
          <w:color w:val="484D7A"/>
          <w:sz w:val="28"/>
          <w:szCs w:val="28"/>
        </w:rPr>
      </w:pPr>
      <w:bookmarkStart w:id="18" w:name="_Toc102381443"/>
      <w:r>
        <w:rPr>
          <w:rFonts w:cs="Arial" w:ascii="Arial" w:hAnsi="Arial"/>
          <w:b/>
          <w:bCs/>
          <w:color w:val="484D7A"/>
          <w:sz w:val="28"/>
          <w:szCs w:val="28"/>
        </w:rPr>
        <w:t>Fourniture des résultats aux services déconcentrés</w:t>
      </w:r>
      <w:bookmarkEnd w:id="18"/>
    </w:p>
    <w:p>
      <w:pPr>
        <w:pStyle w:val="Normal"/>
        <w:rPr/>
      </w:pPr>
      <w:r>
        <w:rPr/>
      </w:r>
    </w:p>
    <w:p>
      <w:pPr>
        <w:pStyle w:val="Normal"/>
        <w:rPr>
          <w:rFonts w:ascii="Arial" w:hAnsi="Arial" w:cs="Arial"/>
          <w:color w:val="484D7A"/>
          <w:sz w:val="22"/>
          <w:szCs w:val="22"/>
        </w:rPr>
      </w:pPr>
      <w:r>
        <w:rPr>
          <w:rFonts w:cs="Arial" w:ascii="Arial" w:hAnsi="Arial"/>
          <w:color w:val="484D7A"/>
          <w:sz w:val="22"/>
          <w:szCs w:val="22"/>
        </w:rPr>
        <w:t>Les résultats fournis aux services déconcentrés comprennent :</w:t>
      </w:r>
    </w:p>
    <w:p>
      <w:pPr>
        <w:pStyle w:val="Normal"/>
        <w:rPr>
          <w:color w:val="484D7A"/>
        </w:rPr>
      </w:pPr>
      <w:r>
        <w:rPr>
          <w:color w:val="484D7A"/>
        </w:rPr>
      </w:r>
    </w:p>
    <w:p>
      <w:pPr>
        <w:pStyle w:val="ListParagraph"/>
        <w:numPr>
          <w:ilvl w:val="0"/>
          <w:numId w:val="12"/>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Les cartes de bruit stratégiques au format ESRI Shapefile avec les attributs décrits dans le Standard de données « Bruit dans l’Environnement – Cartographie du Bruit » de la Commission de Validation des Données pour l’Information Spatialisée (COVADIS) ;</w:t>
      </w:r>
    </w:p>
    <w:p>
      <w:pPr>
        <w:pStyle w:val="ListParagraph"/>
        <w:numPr>
          <w:ilvl w:val="0"/>
          <w:numId w:val="12"/>
        </w:numPr>
        <w:suppressAutoHyphens w:val="true"/>
        <w:spacing w:lineRule="auto" w:line="276" w:before="0" w:after="0"/>
        <w:jc w:val="both"/>
        <w:textAlignment w:val="baseline"/>
        <w:rPr>
          <w:rFonts w:ascii="Arial" w:hAnsi="Arial" w:cs="Arial"/>
          <w:color w:val="484D7A"/>
          <w:sz w:val="22"/>
          <w:szCs w:val="22"/>
        </w:rPr>
      </w:pPr>
      <w:r>
        <w:rPr>
          <w:rFonts w:cs="Arial" w:ascii="Arial" w:hAnsi="Arial"/>
          <w:color w:val="484D7A"/>
          <w:sz w:val="22"/>
          <w:szCs w:val="22"/>
        </w:rPr>
        <w:t>Les tableaux d’exposition des populations présentés dans les pages suivantes.</w:t>
      </w:r>
    </w:p>
    <w:p>
      <w:pPr>
        <w:pStyle w:val="Titre1"/>
        <w:numPr>
          <w:ilvl w:val="0"/>
          <w:numId w:val="2"/>
        </w:numPr>
        <w:rPr>
          <w:rFonts w:ascii="Arial" w:hAnsi="Arial" w:cs="Arial"/>
          <w:b/>
          <w:b/>
          <w:bCs/>
          <w:color w:val="484D7A"/>
          <w:sz w:val="28"/>
          <w:szCs w:val="28"/>
        </w:rPr>
      </w:pPr>
      <w:bookmarkStart w:id="19" w:name="_Toc102381444"/>
      <w:r>
        <w:rPr>
          <w:rFonts w:cs="Arial" w:ascii="Arial" w:hAnsi="Arial"/>
          <w:b/>
          <w:bCs/>
          <w:color w:val="484D7A"/>
          <w:sz w:val="28"/>
          <w:szCs w:val="28"/>
        </w:rPr>
        <w:t>Résultats</w:t>
      </w:r>
      <w:bookmarkEnd w:id="19"/>
    </w:p>
    <w:p>
      <w:pPr>
        <w:pStyle w:val="Normal"/>
        <w:rPr/>
      </w:pPr>
      <w:r>
        <w:rPr/>
      </w:r>
    </w:p>
    <w:p>
      <w:pPr>
        <w:pStyle w:val="Titre2"/>
        <w:numPr>
          <w:ilvl w:val="1"/>
          <w:numId w:val="2"/>
        </w:numPr>
        <w:jc w:val="both"/>
        <w:rPr>
          <w:rFonts w:ascii="Arial" w:hAnsi="Arial" w:cs="Arial"/>
          <w:color w:val="484D7A"/>
        </w:rPr>
      </w:pPr>
      <w:bookmarkStart w:id="20" w:name="_Toc102381445"/>
      <w:r>
        <w:rPr>
          <w:rFonts w:cs="Arial" w:ascii="Arial" w:hAnsi="Arial"/>
          <w:color w:val="484D7A"/>
        </w:rPr>
        <w:t>Les infrastructures routières et ferroviaires non concédées cartographiées sur le département</w:t>
      </w:r>
      <w:bookmarkEnd w:id="20"/>
    </w:p>
    <w:p>
      <w:pPr>
        <w:pStyle w:val="Normal"/>
        <w:rPr/>
      </w:pPr>
      <w:r>
        <w:rPr/>
      </w:r>
    </w:p>
    <w:p>
      <w:pPr>
        <w:pStyle w:val="Titre3"/>
        <w:numPr>
          <w:ilvl w:val="2"/>
          <w:numId w:val="15"/>
        </w:numPr>
        <w:jc w:val="both"/>
        <w:rPr>
          <w:rFonts w:ascii="Arial" w:hAnsi="Arial" w:cs="Arial"/>
        </w:rPr>
      </w:pPr>
      <w:r>
        <w:rPr>
          <w:rFonts w:cs="Arial" w:ascii="Arial" w:hAnsi="Arial"/>
        </w:rPr>
        <w:t>Infrastructures routières</w:t>
      </w:r>
    </w:p>
    <w:p>
      <w:pPr>
        <w:pStyle w:val="Normal"/>
        <w:rPr/>
      </w:pPr>
      <w:r>
        <w:rPr/>
      </w:r>
    </w:p>
    <w:p>
      <w:pPr>
        <w:pStyle w:val="Normal"/>
        <w:jc w:val="both"/>
        <w:rPr>
          <w:rFonts w:ascii="Arial" w:hAnsi="Arial" w:cs="Arial"/>
          <w:color w:val="484D7A"/>
          <w:sz w:val="16"/>
          <w:szCs w:val="16"/>
        </w:rPr>
      </w:pPr>
      <w:r>
        <w:rPr>
          <w:rFonts w:cs="Arial" w:ascii="Arial" w:hAnsi="Arial"/>
          <w:color w:val="484D7A"/>
          <w:sz w:val="16"/>
          <w:szCs w:val="16"/>
        </w:rPr>
        <w:t xml:space="preserve">Les voies nommées </w:t>
      </w:r>
      <w:r>
        <w:rPr>
          <w:rFonts w:cs="Arial" w:ascii="Arial" w:hAnsi="Arial"/>
          <w:i/>
          <w:color w:val="484D7A"/>
          <w:sz w:val="16"/>
          <w:szCs w:val="16"/>
        </w:rPr>
        <w:t>« C_Commune »</w:t>
      </w:r>
      <w:r>
        <w:rPr>
          <w:rFonts w:cs="Arial" w:ascii="Arial" w:hAnsi="Arial"/>
          <w:color w:val="484D7A"/>
          <w:sz w:val="16"/>
          <w:szCs w:val="16"/>
        </w:rPr>
        <w:t xml:space="preserve"> réunissent plusieurs routes traversant la commune citée. Les données relatives aux populations et établissements exposés représentent donc une somme des résultats produits par ces routes.</w:t>
      </w:r>
    </w:p>
    <w:p>
      <w:pPr>
        <w:pStyle w:val="Normal"/>
        <w:jc w:val="both"/>
        <w:rPr/>
      </w:pPr>
      <w:r>
        <w:rPr/>
      </w:r>
    </w:p>
    <w:p>
      <w:pPr>
        <w:pStyle w:val="Normal"/>
        <w:jc w:val="both"/>
        <w:rPr>
          <w:rFonts w:ascii="Arial" w:hAnsi="Arial" w:cs="Arial"/>
          <w:color w:val="484D7A"/>
          <w:sz w:val="16"/>
          <w:szCs w:val="16"/>
        </w:rPr>
      </w:pPr>
      <w:r>
        <w:rPr>
          <w:rFonts w:cs="Arial" w:ascii="Arial" w:hAnsi="Arial"/>
          <w:color w:val="484D7A"/>
          <w:sz w:val="16"/>
          <w:szCs w:val="16"/>
        </w:rPr>
        <w:t xml:space="preserve">Dans le cas d’un très grand nombre de routes cartographiées sur le département, seules les voies dont les données d’exposition des infrastructures sont les plus impactantes, sont présentées ci-après : </w:t>
      </w:r>
    </w:p>
    <w:p>
      <w:pPr>
        <w:pStyle w:val="Normal"/>
        <w:rPr/>
      </w:pPr>
      <w:r>
        <w:rPr/>
      </w:r>
    </w:p>
    <w:tbl>
      <w:tblPr>
        <w:tblStyle w:val="Grilledutableau"/>
        <w:tblW w:w="911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306"/>
        <w:gridCol w:w="5808"/>
      </w:tblGrid>
      <w:tr>
        <w:trPr>
          <w:trHeight w:val="486" w:hRule="atLeast"/>
        </w:trPr>
        <w:tc>
          <w:tcPr>
            <w:tcW w:w="3306"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Type d’infrastructure</w:t>
            </w:r>
          </w:p>
        </w:tc>
        <w:tc>
          <w:tcPr>
            <w:tcW w:w="5808"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Dénomination de l’infrastructure</w:t>
            </w:r>
          </w:p>
        </w:tc>
      </w:tr>
      <w:tr>
        <w:trPr>
          <w:trHeight w:val="41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nationale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N159</w:t>
            </w:r>
          </w:p>
        </w:tc>
      </w:tr>
      <w:tr>
        <w:trPr>
          <w:trHeight w:val="41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nationale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N9057</w:t>
            </w:r>
          </w:p>
        </w:tc>
      </w:tr>
      <w:tr>
        <w:trPr>
          <w:trHeight w:val="41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nationale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N57</w:t>
            </w:r>
          </w:p>
        </w:tc>
      </w:tr>
      <w:tr>
        <w:trPr>
          <w:trHeight w:val="41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nationale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N9059</w:t>
            </w:r>
          </w:p>
        </w:tc>
      </w:tr>
      <w:tr>
        <w:trPr>
          <w:trHeight w:val="41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nationale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N59</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D229</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D12</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D43</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D417A</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D49</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D46C</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D36</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D157</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D11B</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D58C</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D246</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D166A</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D415</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D165</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D420</w:t>
            </w:r>
          </w:p>
        </w:tc>
      </w:tr>
      <w:tr>
        <w:trPr>
          <w:trHeight w:val="409"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Route départementale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D466</w:t>
            </w:r>
          </w:p>
        </w:tc>
      </w:tr>
      <w:tr>
        <w:trPr>
          <w:trHeight w:val="405"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 communale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C_Épinal</w:t>
            </w:r>
          </w:p>
        </w:tc>
      </w:tr>
      <w:tr>
        <w:trPr>
          <w:trHeight w:val="405"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 communale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C_Saint-Dié-des-Vosges</w:t>
            </w:r>
          </w:p>
        </w:tc>
      </w:tr>
    </w:tbl>
    <w:p>
      <w:pPr>
        <w:pStyle w:val="Normal"/>
        <w:rPr/>
      </w:pPr>
      <w:r>
        <w:rPr/>
      </w:r>
    </w:p>
    <w:p>
      <w:pPr>
        <w:pStyle w:val="Normal"/>
        <w:rPr/>
      </w:pPr>
      <w:r>
        <w:rPr/>
      </w:r>
      <w:r>
        <w:br w:type="page"/>
      </w:r>
    </w:p>
    <w:p>
      <w:pPr>
        <w:pStyle w:val="Titre3"/>
        <w:numPr>
          <w:ilvl w:val="2"/>
          <w:numId w:val="16"/>
        </w:numPr>
        <w:jc w:val="both"/>
        <w:rPr>
          <w:rFonts w:ascii="Arial" w:hAnsi="Arial" w:cs="Arial"/>
        </w:rPr>
      </w:pPr>
      <w:r>
        <w:rPr>
          <w:rFonts w:cs="Arial" w:ascii="Arial" w:hAnsi="Arial"/>
        </w:rPr>
        <w:t>Infrastructures ferroviaires</w:t>
      </w:r>
    </w:p>
    <w:p>
      <w:pPr>
        <w:pStyle w:val="Normal"/>
        <w:rPr/>
      </w:pPr>
      <w:r>
        <w:rPr/>
      </w:r>
    </w:p>
    <w:tbl>
      <w:tblPr>
        <w:tblStyle w:val="Grilledutableau"/>
        <w:tblW w:w="9115"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3306"/>
        <w:gridCol w:w="5808"/>
      </w:tblGrid>
      <w:tr>
        <w:trPr>
          <w:trHeight w:val="449" w:hRule="atLeast"/>
        </w:trPr>
        <w:tc>
          <w:tcPr>
            <w:tcW w:w="3306"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Type d’infrastructure</w:t>
            </w:r>
          </w:p>
        </w:tc>
        <w:tc>
          <w:tcPr>
            <w:tcW w:w="5808"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Dénomination de l’infrastructure</w:t>
            </w:r>
          </w:p>
        </w:tc>
      </w:tr>
      <w:tr>
        <w:trPr>
          <w:trHeight w:val="388" w:hRule="atLeast"/>
        </w:trPr>
        <w:tc>
          <w:tcPr>
            <w:tcW w:w="330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 ferrée conventionnelle</w:t>
            </w:r>
          </w:p>
        </w:tc>
        <w:tc>
          <w:tcPr>
            <w:tcW w:w="5808"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32000</w:t>
            </w:r>
          </w:p>
        </w:tc>
      </w:tr>
    </w:tbl>
    <w:p>
      <w:pPr>
        <w:pStyle w:val="Normal"/>
        <w:rPr/>
      </w:pPr>
      <w:r>
        <w:rPr/>
      </w:r>
      <w:r>
        <w:br w:type="page"/>
      </w:r>
    </w:p>
    <w:p>
      <w:pPr>
        <w:pStyle w:val="Titre2"/>
        <w:numPr>
          <w:ilvl w:val="1"/>
          <w:numId w:val="2"/>
        </w:numPr>
        <w:jc w:val="both"/>
        <w:rPr>
          <w:rFonts w:ascii="Arial" w:hAnsi="Arial" w:cs="Arial"/>
          <w:color w:val="484D7A"/>
        </w:rPr>
      </w:pPr>
      <w:bookmarkStart w:id="21" w:name="_Toc102381446"/>
      <w:r>
        <w:rPr>
          <w:rFonts w:cs="Arial" w:ascii="Arial" w:hAnsi="Arial"/>
          <w:color w:val="484D7A"/>
        </w:rPr>
        <w:t>Les données d’exposition des populations</w:t>
      </w:r>
      <w:bookmarkEnd w:id="21"/>
    </w:p>
    <w:p>
      <w:pPr>
        <w:pStyle w:val="Normal"/>
        <w:rPr/>
      </w:pPr>
      <w:r>
        <w:rPr/>
      </w:r>
    </w:p>
    <w:p>
      <w:pPr>
        <w:pStyle w:val="Titre3"/>
        <w:numPr>
          <w:ilvl w:val="2"/>
          <w:numId w:val="17"/>
        </w:numPr>
        <w:jc w:val="both"/>
        <w:rPr>
          <w:rFonts w:ascii="Arial" w:hAnsi="Arial" w:cs="Arial"/>
        </w:rPr>
      </w:pPr>
      <w:r>
        <w:rPr>
          <w:rFonts w:cs="Arial" w:ascii="Arial" w:hAnsi="Arial"/>
        </w:rPr>
        <w:t>Infrastructures routières</w:t>
      </w:r>
    </w:p>
    <w:p>
      <w:pPr>
        <w:pStyle w:val="Normal"/>
        <w:rPr/>
      </w:pPr>
      <w:r>
        <w:rPr/>
      </w:r>
    </w:p>
    <w:p>
      <w:pPr>
        <w:pStyle w:val="Normal"/>
        <w:rPr/>
      </w:pPr>
      <w:r>
        <w:rPr/>
      </w:r>
    </w:p>
    <w:p>
      <w:pPr>
        <w:pStyle w:val="Normal"/>
        <w:rPr>
          <w:rFonts w:ascii="Arial" w:hAnsi="Arial" w:cs="Arial"/>
          <w:b/>
          <w:b/>
          <w:color w:val="484D7A"/>
        </w:rPr>
      </w:pPr>
      <w:r>
        <w:rPr>
          <w:rFonts w:cs="Arial" w:ascii="Arial" w:hAnsi="Arial"/>
          <w:b/>
          <w:color w:val="484D7A"/>
        </w:rPr>
        <w:t>Indice L</w:t>
      </w:r>
      <w:r>
        <w:rPr>
          <w:rFonts w:cs="Arial" w:ascii="Arial" w:hAnsi="Arial"/>
          <w:b/>
          <w:color w:val="484D7A"/>
          <w:vertAlign w:val="subscript"/>
        </w:rPr>
        <w:t>den</w:t>
      </w:r>
      <w:r>
        <w:rPr>
          <w:rFonts w:cs="Arial" w:ascii="Arial" w:hAnsi="Arial"/>
          <w:b/>
          <w:color w:val="484D7A"/>
        </w:rPr>
        <w:t xml:space="preserve"> en dB(A)</w:t>
      </w:r>
    </w:p>
    <w:p>
      <w:pPr>
        <w:pStyle w:val="Normal"/>
        <w:rPr/>
      </w:pPr>
      <w:r>
        <w:rPr/>
      </w:r>
    </w:p>
    <w:tbl>
      <w:tblPr>
        <w:tblStyle w:val="Grilledutableau"/>
        <w:tblW w:w="1034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71"/>
        <w:gridCol w:w="907"/>
        <w:gridCol w:w="907"/>
        <w:gridCol w:w="907"/>
        <w:gridCol w:w="907"/>
        <w:gridCol w:w="907"/>
        <w:gridCol w:w="907"/>
        <w:gridCol w:w="907"/>
        <w:gridCol w:w="907"/>
        <w:gridCol w:w="907"/>
        <w:gridCol w:w="907"/>
      </w:tblGrid>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den</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personnes exposées</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logements exposés</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[70-75[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[70-75[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&gt;75</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C_Saint-Dié-des-Vosges</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271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277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268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440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231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C_Épinal</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268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D11B</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317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711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567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568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588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374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298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299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309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228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D166A</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D229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D246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D36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181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777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534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735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429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409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281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387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226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18</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527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334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224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277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176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D417A</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635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610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334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289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42</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303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313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237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316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D46C</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302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D58C</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N159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193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3610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1599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191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1900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842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291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17</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1137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469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248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599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247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275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bl>
    <w:p>
      <w:pPr>
        <w:pStyle w:val="Normal"/>
        <w:rPr/>
      </w:pPr>
      <w:r>
        <w:rPr/>
      </w:r>
    </w:p>
    <w:p>
      <w:pPr>
        <w:pStyle w:val="Normal"/>
        <w:rPr/>
      </w:pPr>
      <w:r>
        <w:rPr/>
      </w:r>
      <w:r>
        <w:br w:type="page"/>
      </w:r>
    </w:p>
    <w:p>
      <w:pPr>
        <w:pStyle w:val="Normal"/>
        <w:rPr/>
      </w:pPr>
      <w:r>
        <w:rPr/>
      </w:r>
    </w:p>
    <w:tbl>
      <w:tblPr>
        <w:tblStyle w:val="Grilledutableau"/>
        <w:tblW w:w="1034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71"/>
        <w:gridCol w:w="907"/>
        <w:gridCol w:w="907"/>
        <w:gridCol w:w="907"/>
        <w:gridCol w:w="907"/>
        <w:gridCol w:w="907"/>
        <w:gridCol w:w="907"/>
        <w:gridCol w:w="907"/>
        <w:gridCol w:w="907"/>
        <w:gridCol w:w="907"/>
        <w:gridCol w:w="907"/>
      </w:tblGrid>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den</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 santé exposés</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d’enseignement exposés</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[70-75[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[70-75[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&gt;75</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C_Saint-Dié-des-Vosges</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C_Épinal</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D11B</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D166A</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D229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D246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D36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D417A</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D46C</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D58C</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N159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bl>
    <w:p>
      <w:pPr>
        <w:pStyle w:val="Normal"/>
        <w:rPr/>
      </w:pPr>
      <w:r>
        <w:rPr/>
      </w:r>
    </w:p>
    <w:p>
      <w:pPr>
        <w:pStyle w:val="Normal"/>
        <w:rPr/>
      </w:pPr>
      <w:r>
        <w:rPr/>
      </w:r>
      <w:r>
        <w:br w:type="page"/>
      </w:r>
    </w:p>
    <w:p>
      <w:pPr>
        <w:pStyle w:val="Normal"/>
        <w:rPr/>
      </w:pPr>
      <w:r>
        <w:rPr/>
      </w:r>
    </w:p>
    <w:tbl>
      <w:tblPr>
        <w:tblStyle w:val="Grilledutableau"/>
        <w:tblW w:w="977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520"/>
        <w:gridCol w:w="1889"/>
        <w:gridCol w:w="1736"/>
        <w:gridCol w:w="1733"/>
        <w:gridCol w:w="1895"/>
      </w:tblGrid>
      <w:tr>
        <w:trPr>
          <w:trHeight w:val="79" w:hRule="atLeast"/>
        </w:trPr>
        <w:tc>
          <w:tcPr>
            <w:tcW w:w="2520"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den</w:t>
            </w:r>
          </w:p>
        </w:tc>
        <w:tc>
          <w:tcPr>
            <w:tcW w:w="1889"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personnes exposées</w:t>
            </w:r>
          </w:p>
        </w:tc>
        <w:tc>
          <w:tcPr>
            <w:tcW w:w="1736"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logements exposés</w:t>
            </w:r>
          </w:p>
        </w:tc>
        <w:tc>
          <w:tcPr>
            <w:tcW w:w="1733"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 santé exposés</w:t>
            </w:r>
          </w:p>
        </w:tc>
        <w:tc>
          <w:tcPr>
            <w:tcW w:w="1895"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d’enseignement exposés</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7253" w:type="dxa"/>
            <w:gridSpan w:val="4"/>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 xml:space="preserve">&gt; 68 </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C_Saint-Dié-des-Vosges</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572</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301</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C_Épinal</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77</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D11B</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D12</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190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D157</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804</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423</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D165</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107</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56</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D166A</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D229</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116</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61</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D246</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D36</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235</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124</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D415</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780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411</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79</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D417A</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68</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36</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D420</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909</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478</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D43</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310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163</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D466</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29</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D46C</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D49</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106</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56</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D58C</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N159</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23</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N57</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405</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213</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N59</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240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126</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N9057</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N9059</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bl>
    <w:p>
      <w:pPr>
        <w:pStyle w:val="Normal"/>
        <w:rPr/>
      </w:pPr>
      <w:r>
        <w:rPr/>
      </w:r>
    </w:p>
    <w:p>
      <w:pPr>
        <w:pStyle w:val="Normal"/>
        <w:rPr/>
      </w:pPr>
      <w:r>
        <w:rPr/>
      </w:r>
    </w:p>
    <w:p>
      <w:pPr>
        <w:pStyle w:val="Normal"/>
        <w:rPr/>
      </w:pPr>
      <w:r>
        <w:rPr/>
      </w:r>
    </w:p>
    <w:p>
      <w:pPr>
        <w:pStyle w:val="Normal"/>
        <w:rPr/>
      </w:pPr>
      <w:r>
        <w:rPr/>
      </w:r>
      <w:r>
        <w:br w:type="page"/>
      </w:r>
    </w:p>
    <w:tbl>
      <w:tblPr>
        <w:tblStyle w:val="Grilledutableau"/>
        <w:tblW w:w="495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549"/>
        <w:gridCol w:w="1134"/>
        <w:gridCol w:w="1134"/>
        <w:gridCol w:w="1134"/>
      </w:tblGrid>
      <w:tr>
        <w:trPr>
          <w:trHeight w:val="530" w:hRule="atLeast"/>
        </w:trPr>
        <w:tc>
          <w:tcPr>
            <w:tcW w:w="1549" w:type="dxa"/>
            <w:vMerge w:val="restart"/>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pageBreakBefore/>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3402" w:type="dxa"/>
            <w:gridSpan w:val="3"/>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Surface exposée selon L</w:t>
            </w:r>
            <w:r>
              <w:rPr>
                <w:rFonts w:cs="Arial" w:ascii="Arial" w:hAnsi="Arial"/>
                <w:color w:val="484D7A"/>
                <w:kern w:val="0"/>
                <w:sz w:val="20"/>
                <w:szCs w:val="20"/>
                <w:vertAlign w:val="subscript"/>
                <w:lang w:val="fr-FR" w:bidi="ar-SA"/>
              </w:rPr>
              <w:t>den</w:t>
            </w:r>
            <w:r>
              <w:rPr>
                <w:rFonts w:cs="Arial" w:ascii="Arial" w:hAnsi="Arial"/>
                <w:color w:val="484D7A"/>
                <w:kern w:val="0"/>
                <w:sz w:val="20"/>
                <w:szCs w:val="20"/>
                <w:lang w:val="fr-FR" w:bidi="ar-SA"/>
              </w:rPr>
              <w:t xml:space="preserve"> (km</w:t>
            </w:r>
            <w:r>
              <w:rPr>
                <w:rFonts w:cs="Arial" w:ascii="Arial" w:hAnsi="Arial"/>
                <w:color w:val="484D7A"/>
                <w:kern w:val="0"/>
                <w:sz w:val="20"/>
                <w:szCs w:val="20"/>
                <w:vertAlign w:val="superscript"/>
                <w:lang w:val="fr-FR" w:bidi="ar-SA"/>
              </w:rPr>
              <w:t>2</w:t>
            </w:r>
            <w:r>
              <w:rPr>
                <w:rFonts w:cs="Arial" w:ascii="Arial" w:hAnsi="Arial"/>
                <w:color w:val="484D7A"/>
                <w:kern w:val="0"/>
                <w:sz w:val="20"/>
                <w:szCs w:val="20"/>
                <w:lang w:val="fr-FR" w:bidi="ar-SA"/>
              </w:rPr>
              <w:t>)</w:t>
            </w:r>
          </w:p>
        </w:tc>
      </w:tr>
      <w:tr>
        <w:trPr>
          <w:trHeight w:val="157" w:hRule="atLeast"/>
        </w:trPr>
        <w:tc>
          <w:tcPr>
            <w:tcW w:w="1549" w:type="dxa"/>
            <w:vMerge w:val="continue"/>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c>
          <w:tcPr>
            <w:tcW w:w="1134"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18"/>
                <w:szCs w:val="18"/>
              </w:rPr>
            </w:pPr>
            <w:r>
              <w:rPr>
                <w:rFonts w:cs="Arial" w:ascii="Arial" w:hAnsi="Arial"/>
                <w:color w:val="484D7A"/>
                <w:kern w:val="0"/>
                <w:sz w:val="18"/>
                <w:szCs w:val="18"/>
                <w:lang w:val="fr-FR" w:bidi="ar-SA"/>
              </w:rPr>
              <w:t>&gt; 55</w:t>
            </w:r>
          </w:p>
        </w:tc>
        <w:tc>
          <w:tcPr>
            <w:tcW w:w="1134"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18"/>
                <w:szCs w:val="18"/>
              </w:rPr>
            </w:pPr>
            <w:r>
              <w:rPr>
                <w:rFonts w:cs="Arial" w:ascii="Arial" w:hAnsi="Arial"/>
                <w:color w:val="484D7A"/>
                <w:kern w:val="0"/>
                <w:sz w:val="18"/>
                <w:szCs w:val="18"/>
                <w:lang w:val="fr-FR" w:bidi="ar-SA"/>
              </w:rPr>
              <w:t>&gt; 65</w:t>
            </w:r>
          </w:p>
        </w:tc>
        <w:tc>
          <w:tcPr>
            <w:tcW w:w="1134"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18"/>
                <w:szCs w:val="18"/>
              </w:rPr>
            </w:pPr>
            <w:r>
              <w:rPr>
                <w:rFonts w:cs="Arial" w:ascii="Arial" w:hAnsi="Arial"/>
                <w:color w:val="484D7A"/>
                <w:kern w:val="0"/>
                <w:sz w:val="18"/>
                <w:szCs w:val="18"/>
                <w:lang w:val="fr-FR" w:bidi="ar-SA"/>
              </w:rPr>
              <w:t>&gt; 75</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C_Saint-Dié-des-Vosges</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0.54</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0.18</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C_Épinal</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0.18</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0.04</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3.14</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0.96</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0.19</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D11B</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D12</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0.48</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0.13</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D157</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1.34</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0.38</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0.01</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D165</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2.77</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0.76</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0.22</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4.91</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1.55</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0.37</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D166A</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0.46</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0.13</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D229</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0.31</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0.09</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D246</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0.01</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D36</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0.07</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0.03</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D415</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4.49</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1.36</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0.22</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1.52</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0.32</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D417A</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0.07</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0.01</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0.17</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0.05</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D420</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0.81</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0.05</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D43</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0.97</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0.23</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0.01</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3.01</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0.82</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0.12</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D466</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0.03</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0.01</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D46C</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0.01</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D49</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0.11</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0.04</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D58C</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0.28</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0.06</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0.01</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N159</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4.86</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0.3</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N57</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43.12</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12.46</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3.86</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N59</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15.06</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4.06</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1.23</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N9057</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1.65</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0.36</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0.11</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N9059</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0.52</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0.14</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0.05</w:t>
            </w:r>
          </w:p>
        </w:tc>
      </w:tr>
    </w:tbl>
    <w:p>
      <w:pPr>
        <w:pStyle w:val="Normal"/>
        <w:rPr/>
      </w:pPr>
      <w:r>
        <w:rPr/>
      </w:r>
      <w:r>
        <w:br w:type="page"/>
      </w:r>
    </w:p>
    <w:p>
      <w:pPr>
        <w:pStyle w:val="Normal"/>
        <w:rPr/>
      </w:pPr>
      <w:r>
        <w:rPr/>
      </w:r>
    </w:p>
    <w:p>
      <w:pPr>
        <w:pStyle w:val="Normal"/>
        <w:rPr>
          <w:rFonts w:ascii="Arial" w:hAnsi="Arial" w:cs="Arial"/>
          <w:b/>
          <w:b/>
          <w:color w:val="484D7A"/>
        </w:rPr>
      </w:pPr>
      <w:r>
        <w:rPr>
          <w:rFonts w:cs="Arial" w:ascii="Arial" w:hAnsi="Arial"/>
          <w:b/>
          <w:color w:val="484D7A"/>
        </w:rPr>
        <w:t>Indice L</w:t>
      </w:r>
      <w:r>
        <w:rPr>
          <w:rFonts w:cs="Arial" w:ascii="Arial" w:hAnsi="Arial"/>
          <w:b/>
          <w:color w:val="484D7A"/>
          <w:vertAlign w:val="subscript"/>
        </w:rPr>
        <w:t>night</w:t>
      </w:r>
      <w:r>
        <w:rPr>
          <w:rFonts w:cs="Arial" w:ascii="Arial" w:hAnsi="Arial"/>
          <w:b/>
          <w:color w:val="484D7A"/>
        </w:rPr>
        <w:t xml:space="preserve"> en dB(A)</w:t>
      </w:r>
    </w:p>
    <w:p>
      <w:pPr>
        <w:pStyle w:val="Normal"/>
        <w:rPr/>
      </w:pPr>
      <w:r>
        <w:rPr/>
      </w:r>
    </w:p>
    <w:tbl>
      <w:tblPr>
        <w:tblStyle w:val="Grilledutableau"/>
        <w:tblW w:w="1034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71"/>
        <w:gridCol w:w="907"/>
        <w:gridCol w:w="907"/>
        <w:gridCol w:w="907"/>
        <w:gridCol w:w="907"/>
        <w:gridCol w:w="907"/>
        <w:gridCol w:w="907"/>
        <w:gridCol w:w="907"/>
        <w:gridCol w:w="907"/>
        <w:gridCol w:w="907"/>
        <w:gridCol w:w="907"/>
      </w:tblGrid>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night</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personnes exposées</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logements exposés</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[50-55[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[50-55[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C_Saint-Dié-des-Vosges</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276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262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433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228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C_Épinal</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D11B</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545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588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628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287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310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331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D166A</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D229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D246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D36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191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532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733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280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386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267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353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230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186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D417A</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623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586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289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308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298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330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174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D46C</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304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D58C</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N159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2343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707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290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1233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372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548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270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289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bl>
    <w:p>
      <w:pPr>
        <w:pStyle w:val="Normal"/>
        <w:rPr/>
      </w:pPr>
      <w:r>
        <w:rPr/>
      </w:r>
    </w:p>
    <w:p>
      <w:pPr>
        <w:pStyle w:val="Normal"/>
        <w:rPr/>
      </w:pPr>
      <w:r>
        <w:rPr/>
      </w:r>
      <w:r>
        <w:br w:type="page"/>
      </w:r>
    </w:p>
    <w:tbl>
      <w:tblPr>
        <w:tblStyle w:val="Grilledutableau"/>
        <w:tblW w:w="1034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71"/>
        <w:gridCol w:w="907"/>
        <w:gridCol w:w="907"/>
        <w:gridCol w:w="907"/>
        <w:gridCol w:w="907"/>
        <w:gridCol w:w="907"/>
        <w:gridCol w:w="907"/>
        <w:gridCol w:w="907"/>
        <w:gridCol w:w="907"/>
        <w:gridCol w:w="907"/>
        <w:gridCol w:w="907"/>
      </w:tblGrid>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pageBreakBefore/>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night</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 santé exposés</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d’enseignement exposés</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[50-55[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[50-55[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C_Saint-Dié-des-Vosges</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C_Épinal</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D11B</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D166A</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D229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D246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D36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D417A</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D46C</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D58C</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N159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bl>
    <w:p>
      <w:pPr>
        <w:pStyle w:val="Normal"/>
        <w:rPr/>
      </w:pPr>
      <w:r>
        <w:rPr/>
      </w:r>
    </w:p>
    <w:p>
      <w:pPr>
        <w:pStyle w:val="Normal"/>
        <w:rPr/>
      </w:pPr>
      <w:r>
        <w:rPr/>
      </w:r>
      <w:r>
        <w:br w:type="page"/>
      </w:r>
    </w:p>
    <w:tbl>
      <w:tblPr>
        <w:tblStyle w:val="Grilledutableau"/>
        <w:tblW w:w="977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520"/>
        <w:gridCol w:w="1889"/>
        <w:gridCol w:w="1736"/>
        <w:gridCol w:w="1733"/>
        <w:gridCol w:w="1895"/>
      </w:tblGrid>
      <w:tr>
        <w:trPr>
          <w:trHeight w:val="79" w:hRule="atLeast"/>
        </w:trPr>
        <w:tc>
          <w:tcPr>
            <w:tcW w:w="2520"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pageBreakBefore/>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night</w:t>
            </w:r>
          </w:p>
        </w:tc>
        <w:tc>
          <w:tcPr>
            <w:tcW w:w="1889"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personnes exposées</w:t>
            </w:r>
          </w:p>
        </w:tc>
        <w:tc>
          <w:tcPr>
            <w:tcW w:w="1736"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logements exposés</w:t>
            </w:r>
          </w:p>
        </w:tc>
        <w:tc>
          <w:tcPr>
            <w:tcW w:w="1733"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 santé exposés</w:t>
            </w:r>
          </w:p>
        </w:tc>
        <w:tc>
          <w:tcPr>
            <w:tcW w:w="1895"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d’enseignement exposés</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7253" w:type="dxa"/>
            <w:gridSpan w:val="4"/>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 62</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C_Saint-Dié-des-Vosges</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256</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135</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C_Épinal</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33</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17</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D11B</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D12</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126</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67</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D157</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312</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164</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D165</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54</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28</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D166A</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D229</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46</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24</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D246</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D36</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142</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75</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D415</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334</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176</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44</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23</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D417A</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D420</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577</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304</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D43</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132</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D466</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D46C</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D49</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D58C</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N159</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N57</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184</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97</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N59</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97</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51</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N9057</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N9059</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bl>
    <w:p>
      <w:pPr>
        <w:pStyle w:val="Normal"/>
        <w:rPr>
          <w:rFonts w:ascii="Arial" w:hAnsi="Arial" w:cs="Arial"/>
          <w:b/>
          <w:b/>
          <w:sz w:val="20"/>
          <w:szCs w:val="20"/>
        </w:rPr>
      </w:pPr>
      <w:r>
        <w:rPr>
          <w:rFonts w:cs="Arial" w:ascii="Arial" w:hAnsi="Arial"/>
          <w:b/>
          <w:sz w:val="20"/>
          <w:szCs w:val="20"/>
        </w:rPr>
      </w:r>
    </w:p>
    <w:p>
      <w:pPr>
        <w:pStyle w:val="Normal"/>
        <w:rPr>
          <w:rFonts w:ascii="Arial" w:hAnsi="Arial" w:cs="Arial"/>
          <w:b/>
          <w:b/>
          <w:sz w:val="20"/>
          <w:szCs w:val="20"/>
        </w:rPr>
      </w:pPr>
      <w:r>
        <w:rPr>
          <w:rFonts w:cs="Arial" w:ascii="Arial" w:hAnsi="Arial"/>
          <w:b/>
          <w:sz w:val="20"/>
          <w:szCs w:val="20"/>
        </w:rPr>
      </w:r>
    </w:p>
    <w:p>
      <w:pPr>
        <w:pStyle w:val="Normal"/>
        <w:rPr>
          <w:rFonts w:ascii="Arial" w:hAnsi="Arial" w:cs="Arial"/>
          <w:b/>
          <w:b/>
          <w:sz w:val="20"/>
          <w:szCs w:val="20"/>
        </w:rPr>
      </w:pPr>
      <w:r>
        <w:rPr>
          <w:rFonts w:cs="Arial" w:ascii="Arial" w:hAnsi="Arial"/>
          <w:b/>
          <w:sz w:val="20"/>
          <w:szCs w:val="20"/>
        </w:rPr>
      </w:r>
      <w:r>
        <w:br w:type="page"/>
      </w:r>
    </w:p>
    <w:p>
      <w:pPr>
        <w:pStyle w:val="Normal"/>
        <w:rPr>
          <w:rFonts w:ascii="Arial" w:hAnsi="Arial" w:cs="Arial"/>
          <w:b/>
          <w:b/>
        </w:rPr>
      </w:pPr>
      <w:r>
        <w:rPr>
          <w:rFonts w:cs="Arial" w:ascii="Arial" w:hAnsi="Arial"/>
          <w:b/>
          <w:color w:val="484D7A"/>
        </w:rPr>
        <w:t>Exposition aux effets nuisibles</w:t>
      </w:r>
    </w:p>
    <w:p>
      <w:pPr>
        <w:pStyle w:val="Normal"/>
        <w:rPr>
          <w:rFonts w:ascii="Arial" w:hAnsi="Arial" w:cs="Arial"/>
          <w:b/>
          <w:b/>
          <w:sz w:val="20"/>
          <w:szCs w:val="20"/>
        </w:rPr>
      </w:pPr>
      <w:r>
        <w:rPr>
          <w:rFonts w:cs="Arial" w:ascii="Arial" w:hAnsi="Arial"/>
          <w:b/>
          <w:sz w:val="20"/>
          <w:szCs w:val="20"/>
        </w:rPr>
      </w:r>
    </w:p>
    <w:tbl>
      <w:tblPr>
        <w:tblStyle w:val="Grilledutableau"/>
        <w:tblW w:w="8489"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655"/>
        <w:gridCol w:w="1944"/>
        <w:gridCol w:w="1944"/>
        <w:gridCol w:w="1945"/>
      </w:tblGrid>
      <w:tr>
        <w:trPr>
          <w:trHeight w:val="557" w:hRule="atLeast"/>
        </w:trPr>
        <w:tc>
          <w:tcPr>
            <w:tcW w:w="2655" w:type="dxa"/>
            <w:vMerge w:val="restart"/>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5833" w:type="dxa"/>
            <w:gridSpan w:val="3"/>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Nombres de personnes affectées par des effets nuisibles</w:t>
            </w:r>
          </w:p>
        </w:tc>
      </w:tr>
      <w:tr>
        <w:trPr>
          <w:trHeight w:val="165" w:hRule="atLeast"/>
        </w:trPr>
        <w:tc>
          <w:tcPr>
            <w:tcW w:w="2655" w:type="dxa"/>
            <w:vMerge w:val="continue"/>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c>
          <w:tcPr>
            <w:tcW w:w="1944"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18"/>
                <w:szCs w:val="18"/>
              </w:rPr>
            </w:pPr>
            <w:r>
              <w:rPr>
                <w:rFonts w:cs="Arial" w:ascii="Arial" w:hAnsi="Arial"/>
                <w:color w:val="484D7A"/>
                <w:kern w:val="0"/>
                <w:sz w:val="18"/>
                <w:szCs w:val="18"/>
                <w:lang w:val="fr-FR" w:bidi="ar-SA"/>
              </w:rPr>
              <w:t>Cardiopathie ischémique</w:t>
            </w:r>
          </w:p>
        </w:tc>
        <w:tc>
          <w:tcPr>
            <w:tcW w:w="1944"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18"/>
                <w:szCs w:val="18"/>
              </w:rPr>
            </w:pPr>
            <w:r>
              <w:rPr>
                <w:rFonts w:cs="Arial" w:ascii="Arial" w:hAnsi="Arial"/>
                <w:color w:val="484D7A"/>
                <w:kern w:val="0"/>
                <w:sz w:val="18"/>
                <w:szCs w:val="18"/>
                <w:lang w:val="fr-FR" w:bidi="ar-SA"/>
              </w:rPr>
              <w:t>Forte gêne</w:t>
            </w:r>
          </w:p>
        </w:tc>
        <w:tc>
          <w:tcPr>
            <w:tcW w:w="1945"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18"/>
                <w:szCs w:val="18"/>
              </w:rPr>
            </w:pPr>
            <w:r>
              <w:rPr>
                <w:rFonts w:cs="Arial" w:ascii="Arial" w:hAnsi="Arial"/>
                <w:color w:val="484D7A"/>
                <w:kern w:val="0"/>
                <w:sz w:val="18"/>
                <w:szCs w:val="18"/>
                <w:lang w:val="fr-FR" w:bidi="ar-SA"/>
              </w:rPr>
              <w:t>Forte perturbation du sommeil</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C_Saint-Dié-des-Vosges</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299</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80</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C_Épinal</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75</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49</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D11B</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D12</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139</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D157</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527</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138</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D165</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96</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22</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D166A</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D229</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89</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21</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D246</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D36</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125</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35</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D415</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530</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141</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205</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44</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D417A</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57</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D420</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152</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D43</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35</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287</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67</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D466</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D46C</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D49</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123</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33</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D58C</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N159</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47</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8</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N57</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959</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211</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N59</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340</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66</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N9057</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51</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N9059</w:t>
            </w:r>
          </w:p>
        </w:tc>
        <w:tc>
          <w:tcPr>
            <w:tcW w:w="194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94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w:t>
            </w:r>
          </w:p>
        </w:tc>
        <w:tc>
          <w:tcPr>
            <w:tcW w:w="1945"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r>
    </w:tbl>
    <w:p>
      <w:pPr>
        <w:pStyle w:val="Normal"/>
        <w:rPr/>
      </w:pPr>
      <w:r>
        <w:rPr/>
      </w:r>
      <w:r>
        <w:br w:type="page"/>
      </w:r>
    </w:p>
    <w:p>
      <w:pPr>
        <w:pStyle w:val="Titre3"/>
        <w:numPr>
          <w:ilvl w:val="2"/>
          <w:numId w:val="18"/>
        </w:numPr>
        <w:jc w:val="both"/>
        <w:rPr>
          <w:rFonts w:ascii="Arial" w:hAnsi="Arial" w:cs="Arial"/>
        </w:rPr>
      </w:pPr>
      <w:r>
        <w:rPr>
          <w:rFonts w:cs="Arial" w:ascii="Arial" w:hAnsi="Arial"/>
        </w:rPr>
        <w:t>Infrastructures ferroviaires</w:t>
      </w:r>
    </w:p>
    <w:p>
      <w:pPr>
        <w:pStyle w:val="Normal"/>
        <w:rPr/>
      </w:pPr>
      <w:r>
        <w:rPr/>
      </w:r>
    </w:p>
    <w:p>
      <w:pPr>
        <w:pStyle w:val="Normal"/>
        <w:rPr/>
      </w:pPr>
      <w:r>
        <w:rPr/>
      </w:r>
    </w:p>
    <w:p>
      <w:pPr>
        <w:pStyle w:val="Normal"/>
        <w:rPr>
          <w:rFonts w:ascii="Arial" w:hAnsi="Arial" w:cs="Arial"/>
          <w:b/>
          <w:b/>
          <w:color w:val="484D7A"/>
          <w:sz w:val="22"/>
          <w:szCs w:val="22"/>
        </w:rPr>
      </w:pPr>
      <w:r>
        <w:rPr>
          <w:rFonts w:cs="Arial" w:ascii="Arial" w:hAnsi="Arial"/>
          <w:b/>
          <w:color w:val="484D7A"/>
          <w:sz w:val="22"/>
          <w:szCs w:val="22"/>
        </w:rPr>
        <w:t>Indice L</w:t>
      </w:r>
      <w:r>
        <w:rPr>
          <w:rFonts w:cs="Arial" w:ascii="Arial" w:hAnsi="Arial"/>
          <w:b/>
          <w:color w:val="484D7A"/>
          <w:sz w:val="22"/>
          <w:szCs w:val="22"/>
          <w:vertAlign w:val="subscript"/>
        </w:rPr>
        <w:t>den</w:t>
      </w:r>
      <w:r>
        <w:rPr>
          <w:rFonts w:cs="Arial" w:ascii="Arial" w:hAnsi="Arial"/>
          <w:b/>
          <w:color w:val="484D7A"/>
          <w:sz w:val="22"/>
          <w:szCs w:val="22"/>
        </w:rPr>
        <w:t xml:space="preserve"> en dB(A)</w:t>
      </w:r>
    </w:p>
    <w:p>
      <w:pPr>
        <w:pStyle w:val="Normal"/>
        <w:rPr/>
      </w:pPr>
      <w:r>
        <w:rPr/>
      </w:r>
    </w:p>
    <w:tbl>
      <w:tblPr>
        <w:tblStyle w:val="Grilledutableau"/>
        <w:tblW w:w="1034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71"/>
        <w:gridCol w:w="907"/>
        <w:gridCol w:w="907"/>
        <w:gridCol w:w="907"/>
        <w:gridCol w:w="907"/>
        <w:gridCol w:w="907"/>
        <w:gridCol w:w="907"/>
        <w:gridCol w:w="907"/>
        <w:gridCol w:w="907"/>
        <w:gridCol w:w="907"/>
        <w:gridCol w:w="907"/>
      </w:tblGrid>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den</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personnes exposées</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logements exposés</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[70-75[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[70-75[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&gt;75</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32000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682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187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17</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359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169</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98</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9</w:t>
            </w:r>
          </w:p>
        </w:tc>
      </w:tr>
    </w:tbl>
    <w:p>
      <w:pPr>
        <w:pStyle w:val="Normal"/>
        <w:rPr/>
      </w:pPr>
      <w:r>
        <w:rPr/>
      </w:r>
    </w:p>
    <w:tbl>
      <w:tblPr>
        <w:tblStyle w:val="Grilledutableau"/>
        <w:tblW w:w="1034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71"/>
        <w:gridCol w:w="907"/>
        <w:gridCol w:w="907"/>
        <w:gridCol w:w="907"/>
        <w:gridCol w:w="907"/>
        <w:gridCol w:w="907"/>
        <w:gridCol w:w="907"/>
        <w:gridCol w:w="907"/>
        <w:gridCol w:w="907"/>
        <w:gridCol w:w="907"/>
        <w:gridCol w:w="907"/>
      </w:tblGrid>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den</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 santé exposés</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d’enseignement exposés</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[70-75[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[70-75[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&gt;75</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32000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bl>
    <w:p>
      <w:pPr>
        <w:pStyle w:val="Normal"/>
        <w:rPr/>
      </w:pPr>
      <w:r>
        <w:rPr/>
      </w:r>
    </w:p>
    <w:tbl>
      <w:tblPr>
        <w:tblStyle w:val="Grilledutableau"/>
        <w:tblW w:w="4952"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1549"/>
        <w:gridCol w:w="1134"/>
        <w:gridCol w:w="1134"/>
        <w:gridCol w:w="1134"/>
      </w:tblGrid>
      <w:tr>
        <w:trPr>
          <w:trHeight w:val="530" w:hRule="atLeast"/>
        </w:trPr>
        <w:tc>
          <w:tcPr>
            <w:tcW w:w="1549" w:type="dxa"/>
            <w:vMerge w:val="restart"/>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3402" w:type="dxa"/>
            <w:gridSpan w:val="3"/>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Surface exposée selon L</w:t>
            </w:r>
            <w:r>
              <w:rPr>
                <w:rFonts w:cs="Arial" w:ascii="Arial" w:hAnsi="Arial"/>
                <w:color w:val="484D7A"/>
                <w:kern w:val="0"/>
                <w:sz w:val="20"/>
                <w:szCs w:val="20"/>
                <w:vertAlign w:val="subscript"/>
                <w:lang w:val="fr-FR" w:bidi="ar-SA"/>
              </w:rPr>
              <w:t>den</w:t>
            </w:r>
            <w:r>
              <w:rPr>
                <w:rFonts w:cs="Arial" w:ascii="Arial" w:hAnsi="Arial"/>
                <w:color w:val="484D7A"/>
                <w:kern w:val="0"/>
                <w:sz w:val="20"/>
                <w:szCs w:val="20"/>
                <w:lang w:val="fr-FR" w:bidi="ar-SA"/>
              </w:rPr>
              <w:t xml:space="preserve"> (km</w:t>
            </w:r>
            <w:r>
              <w:rPr>
                <w:rFonts w:cs="Arial" w:ascii="Arial" w:hAnsi="Arial"/>
                <w:color w:val="484D7A"/>
                <w:kern w:val="0"/>
                <w:sz w:val="20"/>
                <w:szCs w:val="20"/>
                <w:vertAlign w:val="superscript"/>
                <w:lang w:val="fr-FR" w:bidi="ar-SA"/>
              </w:rPr>
              <w:t>2</w:t>
            </w:r>
            <w:r>
              <w:rPr>
                <w:rFonts w:cs="Arial" w:ascii="Arial" w:hAnsi="Arial"/>
                <w:color w:val="484D7A"/>
                <w:kern w:val="0"/>
                <w:sz w:val="20"/>
                <w:szCs w:val="20"/>
                <w:lang w:val="fr-FR" w:bidi="ar-SA"/>
              </w:rPr>
              <w:t>)</w:t>
            </w:r>
          </w:p>
        </w:tc>
      </w:tr>
      <w:tr>
        <w:trPr>
          <w:trHeight w:val="157" w:hRule="atLeast"/>
        </w:trPr>
        <w:tc>
          <w:tcPr>
            <w:tcW w:w="1549" w:type="dxa"/>
            <w:vMerge w:val="continue"/>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c>
          <w:tcPr>
            <w:tcW w:w="1134"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18"/>
                <w:szCs w:val="18"/>
              </w:rPr>
            </w:pPr>
            <w:r>
              <w:rPr>
                <w:rFonts w:cs="Arial" w:ascii="Arial" w:hAnsi="Arial"/>
                <w:color w:val="484D7A"/>
                <w:kern w:val="0"/>
                <w:sz w:val="18"/>
                <w:szCs w:val="18"/>
                <w:lang w:val="fr-FR" w:bidi="ar-SA"/>
              </w:rPr>
              <w:t>&gt; 55</w:t>
            </w:r>
          </w:p>
        </w:tc>
        <w:tc>
          <w:tcPr>
            <w:tcW w:w="1134"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18"/>
                <w:szCs w:val="18"/>
              </w:rPr>
            </w:pPr>
            <w:r>
              <w:rPr>
                <w:rFonts w:cs="Arial" w:ascii="Arial" w:hAnsi="Arial"/>
                <w:color w:val="484D7A"/>
                <w:kern w:val="0"/>
                <w:sz w:val="18"/>
                <w:szCs w:val="18"/>
                <w:lang w:val="fr-FR" w:bidi="ar-SA"/>
              </w:rPr>
              <w:t>&gt; 65</w:t>
            </w:r>
          </w:p>
        </w:tc>
        <w:tc>
          <w:tcPr>
            <w:tcW w:w="1134"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18"/>
                <w:szCs w:val="18"/>
              </w:rPr>
            </w:pPr>
            <w:r>
              <w:rPr>
                <w:rFonts w:cs="Arial" w:ascii="Arial" w:hAnsi="Arial"/>
                <w:color w:val="484D7A"/>
                <w:kern w:val="0"/>
                <w:sz w:val="18"/>
                <w:szCs w:val="18"/>
                <w:lang w:val="fr-FR" w:bidi="ar-SA"/>
              </w:rPr>
              <w:t>&gt; 75</w:t>
            </w:r>
          </w:p>
        </w:tc>
      </w:tr>
      <w:tr>
        <w:trPr>
          <w:trHeight w:val="157" w:hRule="atLeast"/>
        </w:trPr>
        <w:tc>
          <w:tcPr>
            <w:tcW w:w="154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32000</w:t>
            </w:r>
          </w:p>
        </w:tc>
        <w:tc>
          <w:tcPr>
            <w:tcW w:w="1134"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21.5</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6.05</w:t>
            </w:r>
          </w:p>
        </w:tc>
        <w:tc>
          <w:tcPr>
            <w:tcW w:w="1134"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1.59</w:t>
            </w:r>
          </w:p>
        </w:tc>
      </w:tr>
    </w:tbl>
    <w:p>
      <w:pPr>
        <w:pStyle w:val="Normal"/>
        <w:rPr/>
      </w:pPr>
      <w:r>
        <w:rPr/>
      </w:r>
    </w:p>
    <w:p>
      <w:pPr>
        <w:pStyle w:val="Normal"/>
        <w:rPr/>
      </w:pPr>
      <w:r>
        <w:rPr/>
      </w:r>
      <w:r>
        <w:br w:type="page"/>
      </w:r>
    </w:p>
    <w:p>
      <w:pPr>
        <w:pStyle w:val="Normal"/>
        <w:rPr>
          <w:rFonts w:ascii="Arial" w:hAnsi="Arial" w:cs="Arial"/>
          <w:b/>
          <w:b/>
          <w:color w:val="484D7A"/>
          <w:sz w:val="20"/>
          <w:szCs w:val="20"/>
        </w:rPr>
      </w:pPr>
      <w:r>
        <w:rPr>
          <w:rFonts w:cs="Arial" w:ascii="Arial" w:hAnsi="Arial"/>
          <w:b/>
          <w:color w:val="484D7A"/>
          <w:sz w:val="20"/>
          <w:szCs w:val="20"/>
        </w:rPr>
        <w:t>Lignes grande vitesse (LGV)</w:t>
      </w:r>
    </w:p>
    <w:p>
      <w:pPr>
        <w:pStyle w:val="Normal"/>
        <w:rPr/>
      </w:pPr>
      <w:r>
        <w:rPr/>
      </w:r>
    </w:p>
    <w:tbl>
      <w:tblPr>
        <w:tblStyle w:val="Grilledutableau"/>
        <w:tblW w:w="977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520"/>
        <w:gridCol w:w="1889"/>
        <w:gridCol w:w="1736"/>
        <w:gridCol w:w="1733"/>
        <w:gridCol w:w="1895"/>
      </w:tblGrid>
      <w:tr>
        <w:trPr>
          <w:trHeight w:val="79" w:hRule="atLeast"/>
        </w:trPr>
        <w:tc>
          <w:tcPr>
            <w:tcW w:w="2520"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den</w:t>
            </w:r>
          </w:p>
        </w:tc>
        <w:tc>
          <w:tcPr>
            <w:tcW w:w="1889"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personnes exposées</w:t>
            </w:r>
          </w:p>
        </w:tc>
        <w:tc>
          <w:tcPr>
            <w:tcW w:w="1736"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logements exposés</w:t>
            </w:r>
          </w:p>
        </w:tc>
        <w:tc>
          <w:tcPr>
            <w:tcW w:w="1733"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 santé exposés</w:t>
            </w:r>
          </w:p>
        </w:tc>
        <w:tc>
          <w:tcPr>
            <w:tcW w:w="1895"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d’enseignement exposés</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7253" w:type="dxa"/>
            <w:gridSpan w:val="4"/>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 xml:space="preserve">&gt; 68 </w:t>
            </w:r>
          </w:p>
        </w:tc>
      </w:tr>
    </w:tbl>
    <w:p>
      <w:pPr>
        <w:pStyle w:val="Normal"/>
        <w:rPr/>
      </w:pPr>
      <w:r>
        <w:rPr/>
      </w:r>
    </w:p>
    <w:p>
      <w:pPr>
        <w:pStyle w:val="Normal"/>
        <w:rPr/>
      </w:pPr>
      <w:r>
        <w:rPr/>
      </w:r>
    </w:p>
    <w:p>
      <w:pPr>
        <w:pStyle w:val="Normal"/>
        <w:rPr>
          <w:rFonts w:ascii="Arial" w:hAnsi="Arial" w:cs="Arial"/>
          <w:b/>
          <w:b/>
          <w:color w:val="484D7A"/>
          <w:sz w:val="20"/>
          <w:szCs w:val="20"/>
        </w:rPr>
      </w:pPr>
      <w:r>
        <w:rPr>
          <w:rFonts w:cs="Arial" w:ascii="Arial" w:hAnsi="Arial"/>
          <w:b/>
          <w:color w:val="484D7A"/>
          <w:sz w:val="20"/>
          <w:szCs w:val="20"/>
        </w:rPr>
        <w:t xml:space="preserve">Voies ferrées conventionnelles </w:t>
      </w:r>
    </w:p>
    <w:p>
      <w:pPr>
        <w:pStyle w:val="Normal"/>
        <w:rPr>
          <w:rFonts w:ascii="Arial" w:hAnsi="Arial" w:cs="Arial"/>
          <w:b/>
          <w:b/>
          <w:color w:val="484D7A"/>
        </w:rPr>
      </w:pPr>
      <w:r>
        <w:rPr>
          <w:rFonts w:cs="Arial" w:ascii="Arial" w:hAnsi="Arial"/>
          <w:b/>
          <w:color w:val="484D7A"/>
        </w:rPr>
      </w:r>
    </w:p>
    <w:tbl>
      <w:tblPr>
        <w:tblStyle w:val="Grilledutableau"/>
        <w:tblW w:w="977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520"/>
        <w:gridCol w:w="1889"/>
        <w:gridCol w:w="1736"/>
        <w:gridCol w:w="1733"/>
        <w:gridCol w:w="1895"/>
      </w:tblGrid>
      <w:tr>
        <w:trPr>
          <w:trHeight w:val="79" w:hRule="atLeast"/>
        </w:trPr>
        <w:tc>
          <w:tcPr>
            <w:tcW w:w="2520"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den</w:t>
            </w:r>
          </w:p>
        </w:tc>
        <w:tc>
          <w:tcPr>
            <w:tcW w:w="1889"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personnes exposées</w:t>
            </w:r>
          </w:p>
        </w:tc>
        <w:tc>
          <w:tcPr>
            <w:tcW w:w="1736"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logements exposés</w:t>
            </w:r>
          </w:p>
        </w:tc>
        <w:tc>
          <w:tcPr>
            <w:tcW w:w="1733"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 santé exposés</w:t>
            </w:r>
          </w:p>
        </w:tc>
        <w:tc>
          <w:tcPr>
            <w:tcW w:w="1895"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d’enseignement exposés</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7253" w:type="dxa"/>
            <w:gridSpan w:val="4"/>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 73</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32000</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17</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bl>
    <w:p>
      <w:pPr>
        <w:pStyle w:val="Normal"/>
        <w:rPr/>
      </w:pPr>
      <w:r>
        <w:rPr/>
      </w:r>
    </w:p>
    <w:p>
      <w:pPr>
        <w:pStyle w:val="Normal"/>
        <w:rPr/>
      </w:pPr>
      <w:r>
        <w:rPr/>
      </w:r>
      <w:r>
        <w:br w:type="page"/>
      </w:r>
    </w:p>
    <w:p>
      <w:pPr>
        <w:pStyle w:val="Normal"/>
        <w:rPr>
          <w:rFonts w:ascii="Arial" w:hAnsi="Arial" w:cs="Arial"/>
          <w:b/>
          <w:b/>
          <w:color w:val="484D7A"/>
        </w:rPr>
      </w:pPr>
      <w:r>
        <w:rPr>
          <w:rFonts w:cs="Arial" w:ascii="Arial" w:hAnsi="Arial"/>
          <w:b/>
          <w:color w:val="484D7A"/>
        </w:rPr>
        <w:t>Indice L</w:t>
      </w:r>
      <w:r>
        <w:rPr>
          <w:rFonts w:cs="Arial" w:ascii="Arial" w:hAnsi="Arial"/>
          <w:b/>
          <w:color w:val="484D7A"/>
          <w:vertAlign w:val="subscript"/>
        </w:rPr>
        <w:t>night</w:t>
      </w:r>
      <w:r>
        <w:rPr>
          <w:rFonts w:cs="Arial" w:ascii="Arial" w:hAnsi="Arial"/>
          <w:b/>
          <w:color w:val="484D7A"/>
        </w:rPr>
        <w:t xml:space="preserve"> en dB(A)</w:t>
      </w:r>
    </w:p>
    <w:p>
      <w:pPr>
        <w:pStyle w:val="Normal"/>
        <w:rPr/>
      </w:pPr>
      <w:r>
        <w:rPr/>
      </w:r>
    </w:p>
    <w:tbl>
      <w:tblPr>
        <w:tblStyle w:val="Grilledutableau"/>
        <w:tblW w:w="1034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71"/>
        <w:gridCol w:w="907"/>
        <w:gridCol w:w="907"/>
        <w:gridCol w:w="907"/>
        <w:gridCol w:w="907"/>
        <w:gridCol w:w="907"/>
        <w:gridCol w:w="907"/>
        <w:gridCol w:w="907"/>
        <w:gridCol w:w="907"/>
        <w:gridCol w:w="907"/>
        <w:gridCol w:w="907"/>
      </w:tblGrid>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night</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personnes exposées</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logements exposés</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[50-55[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[50-55[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32000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574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316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142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302</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166</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w:t>
            </w:r>
          </w:p>
        </w:tc>
      </w:tr>
    </w:tbl>
    <w:p>
      <w:pPr>
        <w:pStyle w:val="Normal"/>
        <w:rPr/>
      </w:pPr>
      <w:r>
        <w:rPr/>
      </w:r>
    </w:p>
    <w:tbl>
      <w:tblPr>
        <w:tblStyle w:val="Grilledutableau"/>
        <w:tblW w:w="10343" w:type="dxa"/>
        <w:jc w:val="left"/>
        <w:tblInd w:w="0" w:type="dxa"/>
        <w:tblLayout w:type="fixed"/>
        <w:tblCellMar>
          <w:top w:w="0" w:type="dxa"/>
          <w:left w:w="108" w:type="dxa"/>
          <w:bottom w:w="0" w:type="dxa"/>
          <w:right w:w="108" w:type="dxa"/>
        </w:tblCellMar>
        <w:tblLook w:firstRow="1" w:noVBand="1" w:lastRow="0" w:firstColumn="1" w:lastColumn="0" w:noHBand="0" w:val="04a0"/>
      </w:tblPr>
      <w:tblGrid>
        <w:gridCol w:w="1271"/>
        <w:gridCol w:w="907"/>
        <w:gridCol w:w="907"/>
        <w:gridCol w:w="907"/>
        <w:gridCol w:w="907"/>
        <w:gridCol w:w="907"/>
        <w:gridCol w:w="907"/>
        <w:gridCol w:w="907"/>
        <w:gridCol w:w="907"/>
        <w:gridCol w:w="907"/>
        <w:gridCol w:w="907"/>
      </w:tblGrid>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night</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 santé exposés</w:t>
            </w:r>
          </w:p>
        </w:tc>
        <w:tc>
          <w:tcPr>
            <w:tcW w:w="4535" w:type="dxa"/>
            <w:gridSpan w:val="5"/>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d’enseignement exposés</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[50-55[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[50-55[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[55-60[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[60-65[</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[65-70[</w:t>
            </w:r>
          </w:p>
        </w:tc>
        <w:tc>
          <w:tcPr>
            <w:tcW w:w="90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&gt;70</w:t>
            </w:r>
          </w:p>
        </w:tc>
      </w:tr>
      <w:tr>
        <w:trPr>
          <w:trHeight w:val="79" w:hRule="atLeast"/>
        </w:trPr>
        <w:tc>
          <w:tcPr>
            <w:tcW w:w="1271"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32000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4</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10</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c>
          <w:tcPr>
            <w:tcW w:w="907"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r>
    </w:tbl>
    <w:p>
      <w:pPr>
        <w:pStyle w:val="Normal"/>
        <w:rPr/>
      </w:pPr>
      <w:r>
        <w:rPr/>
      </w:r>
    </w:p>
    <w:p>
      <w:pPr>
        <w:pStyle w:val="Normal"/>
        <w:rPr/>
      </w:pPr>
      <w:r>
        <w:rPr/>
      </w:r>
      <w:r>
        <w:br w:type="page"/>
      </w:r>
    </w:p>
    <w:p>
      <w:pPr>
        <w:pStyle w:val="Normal"/>
        <w:rPr/>
      </w:pPr>
      <w:r>
        <w:rPr/>
      </w:r>
    </w:p>
    <w:p>
      <w:pPr>
        <w:pStyle w:val="Normal"/>
        <w:rPr>
          <w:rFonts w:ascii="Arial" w:hAnsi="Arial" w:cs="Arial"/>
          <w:b/>
          <w:b/>
          <w:color w:val="484D7A"/>
          <w:sz w:val="20"/>
          <w:szCs w:val="20"/>
        </w:rPr>
      </w:pPr>
      <w:r>
        <w:rPr>
          <w:rFonts w:cs="Arial" w:ascii="Arial" w:hAnsi="Arial"/>
          <w:b/>
          <w:color w:val="484D7A"/>
          <w:sz w:val="20"/>
          <w:szCs w:val="20"/>
        </w:rPr>
        <w:t>Lignes grande vitesse (LGV)</w:t>
      </w:r>
    </w:p>
    <w:p>
      <w:pPr>
        <w:pStyle w:val="Normal"/>
        <w:rPr/>
      </w:pPr>
      <w:r>
        <w:rPr/>
      </w:r>
    </w:p>
    <w:tbl>
      <w:tblPr>
        <w:tblStyle w:val="Grilledutableau"/>
        <w:tblW w:w="977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520"/>
        <w:gridCol w:w="1889"/>
        <w:gridCol w:w="1736"/>
        <w:gridCol w:w="1733"/>
        <w:gridCol w:w="1895"/>
      </w:tblGrid>
      <w:tr>
        <w:trPr>
          <w:trHeight w:val="79" w:hRule="atLeast"/>
        </w:trPr>
        <w:tc>
          <w:tcPr>
            <w:tcW w:w="2520"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night</w:t>
            </w:r>
          </w:p>
        </w:tc>
        <w:tc>
          <w:tcPr>
            <w:tcW w:w="1889"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personnes exposées</w:t>
            </w:r>
          </w:p>
        </w:tc>
        <w:tc>
          <w:tcPr>
            <w:tcW w:w="1736"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logements exposés</w:t>
            </w:r>
          </w:p>
        </w:tc>
        <w:tc>
          <w:tcPr>
            <w:tcW w:w="1733"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 santé exposés</w:t>
            </w:r>
          </w:p>
        </w:tc>
        <w:tc>
          <w:tcPr>
            <w:tcW w:w="1895"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d’enseignement exposés</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7253" w:type="dxa"/>
            <w:gridSpan w:val="4"/>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 62</w:t>
            </w:r>
          </w:p>
        </w:tc>
      </w:tr>
    </w:tbl>
    <w:p>
      <w:pPr>
        <w:pStyle w:val="Normal"/>
        <w:rPr/>
      </w:pPr>
      <w:r>
        <w:rPr/>
      </w:r>
    </w:p>
    <w:p>
      <w:pPr>
        <w:pStyle w:val="Normal"/>
        <w:rPr/>
      </w:pPr>
      <w:r>
        <w:rPr/>
      </w:r>
    </w:p>
    <w:p>
      <w:pPr>
        <w:pStyle w:val="Normal"/>
        <w:rPr>
          <w:rFonts w:ascii="Arial" w:hAnsi="Arial" w:cs="Arial"/>
          <w:b/>
          <w:b/>
          <w:color w:val="484D7A"/>
          <w:sz w:val="20"/>
          <w:szCs w:val="20"/>
        </w:rPr>
      </w:pPr>
      <w:r>
        <w:rPr>
          <w:rFonts w:cs="Arial" w:ascii="Arial" w:hAnsi="Arial"/>
          <w:b/>
          <w:color w:val="484D7A"/>
          <w:sz w:val="20"/>
          <w:szCs w:val="20"/>
        </w:rPr>
        <w:t xml:space="preserve">Voies ferrées conventionnelles </w:t>
      </w:r>
    </w:p>
    <w:p>
      <w:pPr>
        <w:pStyle w:val="Normal"/>
        <w:rPr>
          <w:rFonts w:ascii="Arial" w:hAnsi="Arial" w:cs="Arial"/>
          <w:b/>
          <w:b/>
          <w:color w:val="484D7A"/>
        </w:rPr>
      </w:pPr>
      <w:r>
        <w:rPr>
          <w:rFonts w:cs="Arial" w:ascii="Arial" w:hAnsi="Arial"/>
          <w:b/>
          <w:color w:val="484D7A"/>
        </w:rPr>
      </w:r>
    </w:p>
    <w:tbl>
      <w:tblPr>
        <w:tblStyle w:val="Grilledutableau"/>
        <w:tblW w:w="9773"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520"/>
        <w:gridCol w:w="1889"/>
        <w:gridCol w:w="1736"/>
        <w:gridCol w:w="1733"/>
        <w:gridCol w:w="1895"/>
      </w:tblGrid>
      <w:tr>
        <w:trPr>
          <w:trHeight w:val="79" w:hRule="atLeast"/>
        </w:trPr>
        <w:tc>
          <w:tcPr>
            <w:tcW w:w="2520"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L</w:t>
            </w:r>
            <w:r>
              <w:rPr>
                <w:rFonts w:cs="Arial" w:ascii="Arial" w:hAnsi="Arial"/>
                <w:color w:val="484D7A"/>
                <w:kern w:val="0"/>
                <w:sz w:val="20"/>
                <w:szCs w:val="20"/>
                <w:vertAlign w:val="subscript"/>
                <w:lang w:val="fr-FR" w:bidi="ar-SA"/>
              </w:rPr>
              <w:t>night</w:t>
            </w:r>
          </w:p>
        </w:tc>
        <w:tc>
          <w:tcPr>
            <w:tcW w:w="1889"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personnes exposées</w:t>
            </w:r>
          </w:p>
        </w:tc>
        <w:tc>
          <w:tcPr>
            <w:tcW w:w="1736"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de logements exposés</w:t>
            </w:r>
          </w:p>
        </w:tc>
        <w:tc>
          <w:tcPr>
            <w:tcW w:w="1733"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 santé exposés</w:t>
            </w:r>
          </w:p>
        </w:tc>
        <w:tc>
          <w:tcPr>
            <w:tcW w:w="1895"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 d’établissements d’enseignement exposés</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7253" w:type="dxa"/>
            <w:gridSpan w:val="4"/>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&gt; 65</w:t>
            </w:r>
          </w:p>
        </w:tc>
      </w:tr>
      <w:tr>
        <w:trPr>
          <w:trHeight w:val="79" w:hRule="atLeast"/>
        </w:trPr>
        <w:tc>
          <w:tcPr>
            <w:tcW w:w="2520" w:type="dxa"/>
            <w:tcBorders>
              <w:top w:val="single" w:sz="4" w:space="0" w:color="2F5496"/>
              <w:left w:val="single" w:sz="4" w:space="0" w:color="2F5496"/>
              <w:bottom w:val="single" w:sz="4" w:space="0" w:color="2F5496"/>
              <w:right w:val="single" w:sz="4" w:space="0" w:color="2F5496"/>
            </w:tcBorders>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32000</w:t>
            </w:r>
          </w:p>
        </w:tc>
        <w:tc>
          <w:tcPr>
            <w:tcW w:w="1889"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58</w:t>
            </w:r>
          </w:p>
        </w:tc>
        <w:tc>
          <w:tcPr>
            <w:tcW w:w="1736"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30</w:t>
            </w:r>
          </w:p>
        </w:tc>
        <w:tc>
          <w:tcPr>
            <w:tcW w:w="1733"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0</w:t>
            </w:r>
          </w:p>
        </w:tc>
        <w:tc>
          <w:tcPr>
            <w:tcW w:w="189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w:t>
            </w:r>
          </w:p>
        </w:tc>
      </w:tr>
    </w:tbl>
    <w:p>
      <w:pPr>
        <w:pStyle w:val="Normal"/>
        <w:rPr/>
      </w:pPr>
      <w:r>
        <w:rPr/>
      </w:r>
    </w:p>
    <w:p>
      <w:pPr>
        <w:pStyle w:val="Normal"/>
        <w:rPr/>
      </w:pPr>
      <w:r>
        <w:rPr/>
      </w:r>
      <w:r>
        <w:br w:type="page"/>
      </w:r>
    </w:p>
    <w:p>
      <w:pPr>
        <w:pStyle w:val="Normal"/>
        <w:rPr>
          <w:rFonts w:ascii="Arial" w:hAnsi="Arial" w:cs="Arial"/>
          <w:b/>
          <w:b/>
          <w:sz w:val="20"/>
          <w:szCs w:val="20"/>
        </w:rPr>
      </w:pPr>
      <w:r>
        <w:rPr>
          <w:rFonts w:cs="Arial" w:ascii="Arial" w:hAnsi="Arial"/>
          <w:b/>
          <w:color w:val="484D7A"/>
          <w:sz w:val="20"/>
          <w:szCs w:val="20"/>
        </w:rPr>
        <w:t>Exposition aux effets nuisibles</w:t>
      </w:r>
    </w:p>
    <w:p>
      <w:pPr>
        <w:pStyle w:val="Normal"/>
        <w:rPr>
          <w:rFonts w:ascii="Arial" w:hAnsi="Arial" w:cs="Arial"/>
          <w:b/>
          <w:b/>
          <w:sz w:val="20"/>
          <w:szCs w:val="20"/>
        </w:rPr>
      </w:pPr>
      <w:r>
        <w:rPr>
          <w:rFonts w:cs="Arial" w:ascii="Arial" w:hAnsi="Arial"/>
          <w:b/>
          <w:sz w:val="20"/>
          <w:szCs w:val="20"/>
        </w:rPr>
      </w:r>
    </w:p>
    <w:tbl>
      <w:tblPr>
        <w:tblStyle w:val="Grilledutableau"/>
        <w:tblW w:w="6546"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2655"/>
        <w:gridCol w:w="1944"/>
        <w:gridCol w:w="1947"/>
      </w:tblGrid>
      <w:tr>
        <w:trPr>
          <w:trHeight w:val="557" w:hRule="atLeast"/>
        </w:trPr>
        <w:tc>
          <w:tcPr>
            <w:tcW w:w="2655" w:type="dxa"/>
            <w:vMerge w:val="restart"/>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Voie</w:t>
            </w:r>
          </w:p>
        </w:tc>
        <w:tc>
          <w:tcPr>
            <w:tcW w:w="3891" w:type="dxa"/>
            <w:gridSpan w:val="2"/>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Nombres de personnes affectées par des effets nuisibles</w:t>
            </w:r>
          </w:p>
        </w:tc>
      </w:tr>
      <w:tr>
        <w:trPr>
          <w:trHeight w:val="165" w:hRule="atLeast"/>
        </w:trPr>
        <w:tc>
          <w:tcPr>
            <w:tcW w:w="2655" w:type="dxa"/>
            <w:vMerge w:val="continue"/>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4"/>
                <w:szCs w:val="24"/>
                <w:lang w:val="fr-FR" w:bidi="ar-SA"/>
              </w:rPr>
            </w:r>
          </w:p>
        </w:tc>
        <w:tc>
          <w:tcPr>
            <w:tcW w:w="1944"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18"/>
                <w:szCs w:val="18"/>
              </w:rPr>
            </w:pPr>
            <w:r>
              <w:rPr>
                <w:rFonts w:cs="Arial" w:ascii="Arial" w:hAnsi="Arial"/>
                <w:color w:val="484D7A"/>
                <w:kern w:val="0"/>
                <w:sz w:val="18"/>
                <w:szCs w:val="18"/>
                <w:lang w:val="fr-FR" w:bidi="ar-SA"/>
              </w:rPr>
              <w:t>Forte gêne</w:t>
            </w:r>
          </w:p>
        </w:tc>
        <w:tc>
          <w:tcPr>
            <w:tcW w:w="1947" w:type="dxa"/>
            <w:tcBorders>
              <w:top w:val="single" w:sz="4" w:space="0" w:color="2F5496"/>
              <w:left w:val="single" w:sz="4" w:space="0" w:color="2F5496"/>
              <w:bottom w:val="single" w:sz="4" w:space="0" w:color="2F5496"/>
              <w:right w:val="single" w:sz="4" w:space="0" w:color="2F5496"/>
            </w:tcBorders>
            <w:shd w:color="auto" w:fill="B4C6E7" w:themeFill="accent1" w:themeFillTint="66" w:val="clear"/>
            <w:vAlign w:val="center"/>
          </w:tcPr>
          <w:p>
            <w:pPr>
              <w:pStyle w:val="Normal"/>
              <w:widowControl/>
              <w:spacing w:before="0" w:after="0"/>
              <w:jc w:val="center"/>
              <w:rPr>
                <w:rFonts w:ascii="Arial" w:hAnsi="Arial" w:cs="Arial"/>
                <w:color w:val="484D7A"/>
                <w:sz w:val="18"/>
                <w:szCs w:val="18"/>
              </w:rPr>
            </w:pPr>
            <w:r>
              <w:rPr>
                <w:rFonts w:cs="Arial" w:ascii="Arial" w:hAnsi="Arial"/>
                <w:color w:val="484D7A"/>
                <w:kern w:val="0"/>
                <w:sz w:val="18"/>
                <w:szCs w:val="18"/>
                <w:lang w:val="fr-FR" w:bidi="ar-SA"/>
              </w:rPr>
              <w:t>Forte perturbation du sommeil</w:t>
            </w:r>
          </w:p>
        </w:tc>
      </w:tr>
      <w:tr>
        <w:trPr>
          <w:trHeight w:val="165" w:hRule="atLeast"/>
        </w:trPr>
        <w:tc>
          <w:tcPr>
            <w:tcW w:w="2655" w:type="dxa"/>
            <w:tcBorders>
              <w:top w:val="single" w:sz="4" w:space="0" w:color="2F5496"/>
              <w:left w:val="single" w:sz="4" w:space="0" w:color="2F5496"/>
              <w:bottom w:val="single" w:sz="4" w:space="0" w:color="2F5496"/>
              <w:right w:val="single" w:sz="4" w:space="0" w:color="2F5496"/>
            </w:tcBorders>
            <w:shd w:color="auto" w:fill="auto" w:val="clear"/>
            <w:vAlign w:val="center"/>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32000</w:t>
            </w:r>
          </w:p>
        </w:tc>
        <w:tc>
          <w:tcPr>
            <w:tcW w:w="1944" w:type="dxa"/>
            <w:tcBorders>
              <w:top w:val="single" w:sz="4" w:space="0" w:color="2F5496"/>
              <w:left w:val="single" w:sz="4" w:space="0" w:color="2F5496"/>
              <w:bottom w:val="single" w:sz="4" w:space="0" w:color="2F5496"/>
              <w:right w:val="single" w:sz="4" w:space="0" w:color="2F5496"/>
            </w:tcBorders>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217</w:t>
            </w:r>
          </w:p>
        </w:tc>
        <w:tc>
          <w:tcPr>
            <w:tcW w:w="1947" w:type="dxa"/>
            <w:tcBorders>
              <w:top w:val="single" w:sz="4" w:space="0" w:color="2F5496"/>
              <w:left w:val="single" w:sz="4" w:space="0" w:color="2F5496"/>
              <w:bottom w:val="single" w:sz="4" w:space="0" w:color="2F5496"/>
              <w:right w:val="single" w:sz="4" w:space="0" w:color="2F5496"/>
            </w:tcBorders>
          </w:tcPr>
          <w:p>
            <w:pPr>
              <w:pStyle w:val="Normal"/>
              <w:widowControl/>
              <w:spacing w:before="0" w:after="0"/>
              <w:jc w:val="center"/>
              <w:rPr>
                <w:rFonts w:ascii="Arial" w:hAnsi="Arial" w:cs="Arial"/>
                <w:color w:val="484D7A"/>
                <w:sz w:val="20"/>
                <w:szCs w:val="20"/>
              </w:rPr>
            </w:pPr>
            <w:r>
              <w:rPr>
                <w:rFonts w:cs="Arial" w:ascii="Arial" w:hAnsi="Arial"/>
                <w:color w:val="484D7A"/>
                <w:kern w:val="0"/>
                <w:sz w:val="20"/>
                <w:szCs w:val="20"/>
                <w:lang w:val="fr-FR" w:bidi="ar-SA"/>
              </w:rPr>
              <w:t>76</w:t>
            </w:r>
          </w:p>
        </w:tc>
      </w:tr>
    </w:tbl>
    <w:p>
      <w:pPr>
        <w:pStyle w:val="Titre1"/>
        <w:numPr>
          <w:ilvl w:val="0"/>
          <w:numId w:val="2"/>
        </w:numPr>
        <w:rPr>
          <w:rFonts w:ascii="Arial" w:hAnsi="Arial" w:cs="Arial"/>
          <w:b/>
          <w:b/>
          <w:bCs/>
          <w:color w:val="484D7A"/>
          <w:sz w:val="28"/>
          <w:szCs w:val="28"/>
        </w:rPr>
      </w:pPr>
      <w:r>
        <w:br w:type="page"/>
      </w:r>
      <w:bookmarkStart w:id="22" w:name="_Toc102381447"/>
      <w:r>
        <w:rPr>
          <w:rFonts w:cs="Arial" w:ascii="Arial" w:hAnsi="Arial"/>
          <w:b/>
          <w:bCs/>
          <w:color w:val="484D7A"/>
          <w:sz w:val="28"/>
          <w:szCs w:val="28"/>
        </w:rPr>
        <w:t>Précisions locales</w:t>
      </w:r>
      <w:bookmarkEnd w:id="22"/>
    </w:p>
    <w:p>
      <w:pPr>
        <w:pStyle w:val="Normal"/>
        <w:rPr/>
      </w:pPr>
      <w:r>
        <w:rPr/>
      </w:r>
    </w:p>
    <w:p>
      <w:pPr>
        <w:pStyle w:val="Normal"/>
        <w:jc w:val="both"/>
        <w:rPr>
          <w:rFonts w:ascii="Arial" w:hAnsi="Arial" w:cs="Arial"/>
          <w:color w:val="484D7A"/>
          <w:sz w:val="22"/>
          <w:szCs w:val="22"/>
        </w:rPr>
      </w:pPr>
      <w:r>
        <w:rPr>
          <w:rFonts w:cs="Arial" w:ascii="Arial" w:hAnsi="Arial"/>
          <w:color w:val="484D7A"/>
          <w:sz w:val="22"/>
          <w:szCs w:val="22"/>
        </w:rPr>
        <w:t>La modélisation acoustique, par sa vocation de représentation à grande échelle du territoire, peut représenter de façon approximative certaines particularités locales. Dans le cadre de l’élaboration des plans de prévention du bruit dans l’environnement, les gestionnaires pourront toutefois compléter la modélisation arrêtée à l’aide d’évaluations acoustiques localisées.</w:t>
      </w:r>
    </w:p>
    <w:p>
      <w:pPr>
        <w:pStyle w:val="Normal"/>
        <w:jc w:val="both"/>
        <w:rPr>
          <w:rFonts w:ascii="Arial" w:hAnsi="Arial" w:cs="Arial"/>
          <w:color w:val="484D7A"/>
          <w:sz w:val="22"/>
          <w:szCs w:val="22"/>
        </w:rPr>
      </w:pPr>
      <w:r>
        <w:rPr>
          <w:rFonts w:cs="Arial" w:ascii="Arial" w:hAnsi="Arial"/>
          <w:color w:val="484D7A"/>
          <w:sz w:val="22"/>
          <w:szCs w:val="22"/>
        </w:rPr>
        <mc:AlternateContent>
          <mc:Choice Requires="wps">
            <w:drawing>
              <wp:anchor behindDoc="0" distT="3175" distB="0" distL="117475" distR="114300" simplePos="0" locked="0" layoutInCell="0" allowOverlap="1" relativeHeight="39" wp14:anchorId="70135540">
                <wp:simplePos x="0" y="0"/>
                <wp:positionH relativeFrom="column">
                  <wp:posOffset>3175</wp:posOffset>
                </wp:positionH>
                <wp:positionV relativeFrom="paragraph">
                  <wp:posOffset>238760</wp:posOffset>
                </wp:positionV>
                <wp:extent cx="6413500" cy="1440815"/>
                <wp:effectExtent l="0" t="0" r="13335" b="7620"/>
                <wp:wrapSquare wrapText="bothSides"/>
                <wp:docPr id="31" name="Zone de texte 39"/>
                <a:graphic xmlns:a="http://schemas.openxmlformats.org/drawingml/2006/main">
                  <a:graphicData uri="http://schemas.microsoft.com/office/word/2010/wordprocessingShape">
                    <wps:wsp>
                      <wps:cNvSpPr/>
                      <wps:spPr>
                        <a:xfrm>
                          <a:off x="0" y="0"/>
                          <a:ext cx="6413040" cy="1440360"/>
                        </a:xfrm>
                        <a:prstGeom prst="rect">
                          <a:avLst/>
                        </a:prstGeom>
                        <a:noFill/>
                        <a:ln w="6350">
                          <a:solidFill>
                            <a:srgbClr val="484d7a"/>
                          </a:solidFill>
                          <a:round/>
                        </a:ln>
                      </wps:spPr>
                      <wps:style>
                        <a:lnRef idx="0"/>
                        <a:fillRef idx="0"/>
                        <a:effectRef idx="0"/>
                        <a:fontRef idx="minor"/>
                      </wps:style>
                      <wps:txbx>
                        <w:txbxContent>
                          <w:p>
                            <w:pPr>
                              <w:pStyle w:val="Contenudecadre"/>
                              <w:rPr>
                                <w:i/>
                                <w:i/>
                                <w:color w:val="484D7A"/>
                              </w:rPr>
                            </w:pPr>
                            <w:r>
                              <w:rPr>
                                <w:i/>
                                <w:color w:val="484D7A"/>
                              </w:rPr>
                              <w:t>Observations éventuelles …</w:t>
                            </w:r>
                          </w:p>
                          <w:p>
                            <w:pPr>
                              <w:pStyle w:val="Contenudecadre"/>
                              <w:rPr>
                                <w:color w:val="484D7A"/>
                              </w:rPr>
                            </w:pPr>
                            <w:r>
                              <w:rPr>
                                <w:color w:val="484D7A"/>
                              </w:rPr>
                            </w:r>
                          </w:p>
                          <w:p>
                            <w:pPr>
                              <w:pStyle w:val="Contenudecadre"/>
                              <w:rPr>
                                <w:color w:val="484D7A"/>
                              </w:rPr>
                            </w:pPr>
                            <w:r>
                              <w:rPr>
                                <w:color w:val="484D7A"/>
                              </w:rPr>
                            </w:r>
                          </w:p>
                          <w:p>
                            <w:pPr>
                              <w:pStyle w:val="Contenudecadre"/>
                              <w:rPr>
                                <w:color w:val="484D7A"/>
                              </w:rPr>
                            </w:pPr>
                            <w:r>
                              <w:rPr>
                                <w:color w:val="484D7A"/>
                              </w:rPr>
                            </w:r>
                          </w:p>
                          <w:p>
                            <w:pPr>
                              <w:pStyle w:val="Contenudecadre"/>
                              <w:rPr>
                                <w:color w:val="484D7A"/>
                              </w:rPr>
                            </w:pPr>
                            <w:r>
                              <w:rPr/>
                            </w:r>
                          </w:p>
                        </w:txbxContent>
                      </wps:txbx>
                      <wps:bodyPr>
                        <a:prstTxWarp prst="textNoShape"/>
                        <a:noAutofit/>
                      </wps:bodyPr>
                    </wps:wsp>
                  </a:graphicData>
                </a:graphic>
              </wp:anchor>
            </w:drawing>
          </mc:Choice>
          <mc:Fallback>
            <w:pict>
              <v:rect id="shape_0" ID="Zone de texte 39" path="m0,0l-2147483645,0l-2147483645,-2147483646l0,-2147483646xe" stroked="t" style="position:absolute;margin-left:0.25pt;margin-top:18.8pt;width:504.9pt;height:113.35pt;mso-wrap-style:square;v-text-anchor:top" wp14:anchorId="70135540">
                <v:fill o:detectmouseclick="t" on="false"/>
                <v:stroke color="#484d7a" weight="6480" joinstyle="round" endcap="flat"/>
                <v:textbox>
                  <w:txbxContent>
                    <w:p>
                      <w:pPr>
                        <w:pStyle w:val="Contenudecadre"/>
                        <w:rPr>
                          <w:i/>
                          <w:i/>
                          <w:color w:val="484D7A"/>
                        </w:rPr>
                      </w:pPr>
                      <w:r>
                        <w:rPr>
                          <w:i/>
                          <w:color w:val="484D7A"/>
                        </w:rPr>
                        <w:t>Observations éventuelles …</w:t>
                      </w:r>
                    </w:p>
                    <w:p>
                      <w:pPr>
                        <w:pStyle w:val="Contenudecadre"/>
                        <w:rPr>
                          <w:color w:val="484D7A"/>
                        </w:rPr>
                      </w:pPr>
                      <w:r>
                        <w:rPr>
                          <w:color w:val="484D7A"/>
                        </w:rPr>
                      </w:r>
                    </w:p>
                    <w:p>
                      <w:pPr>
                        <w:pStyle w:val="Contenudecadre"/>
                        <w:rPr>
                          <w:color w:val="484D7A"/>
                        </w:rPr>
                      </w:pPr>
                      <w:r>
                        <w:rPr>
                          <w:color w:val="484D7A"/>
                        </w:rPr>
                      </w:r>
                    </w:p>
                    <w:p>
                      <w:pPr>
                        <w:pStyle w:val="Contenudecadre"/>
                        <w:rPr>
                          <w:color w:val="484D7A"/>
                        </w:rPr>
                      </w:pPr>
                      <w:r>
                        <w:rPr>
                          <w:color w:val="484D7A"/>
                        </w:rPr>
                      </w:r>
                    </w:p>
                    <w:p>
                      <w:pPr>
                        <w:pStyle w:val="Contenudecadre"/>
                        <w:rPr>
                          <w:color w:val="484D7A"/>
                        </w:rPr>
                      </w:pPr>
                      <w:r>
                        <w:rPr/>
                      </w:r>
                    </w:p>
                  </w:txbxContent>
                </v:textbox>
                <w10:wrap type="square"/>
              </v:rect>
            </w:pict>
          </mc:Fallback>
        </mc:AlternateContent>
      </w:r>
    </w:p>
    <w:p>
      <w:pPr>
        <w:pStyle w:val="Normal"/>
        <w:jc w:val="both"/>
        <w:rPr>
          <w:rFonts w:ascii="Arial" w:hAnsi="Arial" w:cs="Arial"/>
          <w:color w:val="484D7A"/>
          <w:sz w:val="22"/>
          <w:szCs w:val="22"/>
        </w:rPr>
      </w:pPr>
      <w:r>
        <w:rPr>
          <w:rFonts w:cs="Arial" w:ascii="Arial" w:hAnsi="Arial"/>
          <w:color w:val="484D7A"/>
          <w:sz w:val="22"/>
          <w:szCs w:val="22"/>
        </w:rPr>
      </w:r>
    </w:p>
    <w:p>
      <w:pPr>
        <w:pStyle w:val="Normal"/>
        <w:rPr/>
      </w:pPr>
      <w:r>
        <w:rPr/>
      </w:r>
    </w:p>
    <w:p>
      <w:pPr>
        <w:pStyle w:val="Titre1"/>
        <w:numPr>
          <w:ilvl w:val="0"/>
          <w:numId w:val="2"/>
        </w:numPr>
        <w:rPr>
          <w:rFonts w:ascii="Arial" w:hAnsi="Arial" w:cs="Arial"/>
          <w:b/>
          <w:b/>
          <w:bCs/>
          <w:color w:val="484D7A"/>
          <w:sz w:val="28"/>
          <w:szCs w:val="28"/>
        </w:rPr>
      </w:pPr>
      <w:bookmarkStart w:id="23" w:name="_Toc102381448"/>
      <w:r>
        <w:rPr>
          <w:rFonts w:cs="Arial" w:ascii="Arial" w:hAnsi="Arial"/>
          <w:b/>
          <w:bCs/>
          <w:color w:val="484D7A"/>
          <w:sz w:val="28"/>
          <w:szCs w:val="28"/>
        </w:rPr>
        <w:t>Conclusion</w:t>
      </w:r>
      <w:bookmarkEnd w:id="23"/>
    </w:p>
    <w:p>
      <w:pPr>
        <w:pStyle w:val="Normal"/>
        <w:rPr/>
      </w:pPr>
      <w:r>
        <w:rPr/>
      </w:r>
    </w:p>
    <w:p>
      <w:pPr>
        <w:pStyle w:val="Normal"/>
        <w:jc w:val="both"/>
        <w:rPr>
          <w:rFonts w:ascii="Arial" w:hAnsi="Arial" w:cs="Arial"/>
          <w:color w:val="484D7A"/>
          <w:sz w:val="22"/>
          <w:szCs w:val="22"/>
        </w:rPr>
      </w:pPr>
      <w:r>
        <w:rPr>
          <w:rFonts w:cs="Arial" w:ascii="Arial" w:hAnsi="Arial"/>
          <w:color w:val="484D7A"/>
          <w:sz w:val="22"/>
          <w:szCs w:val="22"/>
        </w:rPr>
        <w:t>Le présent rapport constitue le résumé non technique des cartes de bruit stratégiques des réseaux routier et ferroviaire non concédés du département 088.</w:t>
      </w:r>
    </w:p>
    <w:p>
      <w:pPr>
        <w:pStyle w:val="Normal"/>
        <w:jc w:val="both"/>
        <w:rPr>
          <w:rFonts w:ascii="Arial" w:hAnsi="Arial" w:cs="Arial"/>
          <w:color w:val="484D7A"/>
          <w:sz w:val="22"/>
          <w:szCs w:val="22"/>
        </w:rPr>
      </w:pPr>
      <w:r>
        <w:rPr>
          <w:rFonts w:cs="Arial" w:ascii="Arial" w:hAnsi="Arial"/>
          <w:color w:val="484D7A"/>
          <w:sz w:val="22"/>
          <w:szCs w:val="22"/>
        </w:rPr>
      </w:r>
    </w:p>
    <w:p>
      <w:pPr>
        <w:pStyle w:val="Normal"/>
        <w:jc w:val="both"/>
        <w:rPr>
          <w:rFonts w:ascii="Arial" w:hAnsi="Arial" w:cs="Arial"/>
          <w:color w:val="484D7A"/>
          <w:sz w:val="22"/>
          <w:szCs w:val="22"/>
        </w:rPr>
      </w:pPr>
      <w:r>
        <w:rPr>
          <w:rFonts w:cs="Arial" w:ascii="Arial" w:hAnsi="Arial"/>
          <w:color w:val="484D7A"/>
          <w:sz w:val="22"/>
          <w:szCs w:val="22"/>
        </w:rPr>
        <w:t>Il fait état de l’exposition sonore des populations et des établissements sensibles, de leur exposition aux effets nuisibles du bruit ainsi que des surfaces affectées par le bruit. Après avoir été arrêtés par le préfet de département, les résultats de cette étude seront transmis à la Commission Européenne et mis à la disposition du public.</w:t>
      </w:r>
    </w:p>
    <w:p>
      <w:pPr>
        <w:pStyle w:val="Normal"/>
        <w:jc w:val="both"/>
        <w:rPr>
          <w:rFonts w:ascii="Arial" w:hAnsi="Arial" w:cs="Arial"/>
          <w:color w:val="484D7A"/>
          <w:sz w:val="22"/>
          <w:szCs w:val="22"/>
        </w:rPr>
      </w:pPr>
      <w:r>
        <w:rPr>
          <w:rFonts w:cs="Arial" w:ascii="Arial" w:hAnsi="Arial"/>
          <w:color w:val="484D7A"/>
          <w:sz w:val="22"/>
          <w:szCs w:val="22"/>
        </w:rPr>
      </w:r>
    </w:p>
    <w:p>
      <w:pPr>
        <w:pStyle w:val="Normal"/>
        <w:jc w:val="both"/>
        <w:rPr>
          <w:rFonts w:ascii="Arial" w:hAnsi="Arial" w:cs="Arial"/>
          <w:color w:val="484D7A"/>
          <w:sz w:val="22"/>
          <w:szCs w:val="22"/>
        </w:rPr>
      </w:pPr>
      <w:r>
        <w:rPr>
          <w:rFonts w:cs="Arial" w:ascii="Arial" w:hAnsi="Arial"/>
          <w:color w:val="484D7A"/>
          <w:sz w:val="22"/>
          <w:szCs w:val="22"/>
        </w:rPr>
        <w:t>Ces résultats constituent des éléments de diagnostic préalables à l’établissement des plans de prévention du bruit dans l’environnement et à ce titre, ils devront être transmis aux autorités compétentes en charge de l’établissement de ces plans.</w:t>
      </w:r>
    </w:p>
    <w:p>
      <w:pPr>
        <w:sectPr>
          <w:headerReference w:type="even" r:id="rId16"/>
          <w:headerReference w:type="default" r:id="rId17"/>
          <w:footerReference w:type="even" r:id="rId18"/>
          <w:footerReference w:type="default" r:id="rId19"/>
          <w:type w:val="nextPage"/>
          <w:pgSz w:w="11906" w:h="16838"/>
          <w:pgMar w:left="964" w:right="873" w:header="344" w:top="1196" w:footer="197" w:bottom="964" w:gutter="0"/>
          <w:pgNumType w:fmt="decimal"/>
          <w:formProt w:val="false"/>
          <w:textDirection w:val="lrTb"/>
          <w:docGrid w:type="default" w:linePitch="312" w:charSpace="4294961151"/>
        </w:sectPr>
      </w:pPr>
    </w:p>
    <w:p>
      <w:pPr>
        <w:pStyle w:val="Normal"/>
        <w:rPr>
          <w:rFonts w:ascii="Arial" w:hAnsi="Arial" w:cs="Arial"/>
          <w:color w:val="484D7A"/>
          <w:sz w:val="20"/>
          <w:szCs w:val="20"/>
        </w:rPr>
      </w:pPr>
      <w:r>
        <w:rPr>
          <w:rFonts w:cs="Arial" w:ascii="Arial" w:hAnsi="Arial"/>
          <w:color w:val="484D7A"/>
          <w:sz w:val="20"/>
          <w:szCs w:val="20"/>
        </w:rPr>
      </w:r>
    </w:p>
    <w:p>
      <w:pPr>
        <w:sectPr>
          <w:type w:val="continuous"/>
          <w:pgSz w:w="11906" w:h="16838"/>
          <w:pgMar w:left="964" w:right="873" w:header="344" w:top="1196" w:footer="197" w:bottom="964" w:gutter="0"/>
          <w:cols w:num="2" w:space="708" w:equalWidth="true" w:sep="false"/>
          <w:formProt w:val="false"/>
          <w:textDirection w:val="lrTb"/>
          <w:docGrid w:type="default" w:linePitch="312" w:charSpace="4294961151"/>
        </w:sectPr>
      </w:pPr>
    </w:p>
    <w:p>
      <w:pPr>
        <w:pStyle w:val="Normal"/>
        <w:tabs>
          <w:tab w:val="clear" w:pos="708"/>
          <w:tab w:val="left" w:pos="4025" w:leader="none"/>
        </w:tabs>
        <w:rPr>
          <w:rFonts w:ascii="Arial" w:hAnsi="Arial" w:cs="Arial"/>
          <w:sz w:val="20"/>
          <w:szCs w:val="20"/>
        </w:rPr>
      </w:pPr>
      <w:r>
        <w:rPr>
          <w:rFonts w:cs="Arial" w:ascii="Arial" w:hAnsi="Arial"/>
          <w:sz w:val="20"/>
          <w:szCs w:val="20"/>
        </w:rPr>
      </w:r>
    </w:p>
    <w:p>
      <w:pPr>
        <w:pStyle w:val="Normal"/>
        <w:tabs>
          <w:tab w:val="clear" w:pos="708"/>
          <w:tab w:val="left" w:pos="4025" w:leader="none"/>
        </w:tabs>
        <w:rPr>
          <w:rFonts w:ascii="Arial" w:hAnsi="Arial" w:cs="Arial"/>
          <w:sz w:val="20"/>
          <w:szCs w:val="20"/>
        </w:rPr>
      </w:pPr>
      <w:r>
        <w:rPr>
          <w:rFonts w:cs="Arial" w:ascii="Arial" w:hAnsi="Arial"/>
          <w:sz w:val="20"/>
          <w:szCs w:val="20"/>
        </w:rPr>
        <w:tab/>
      </w:r>
    </w:p>
    <w:p>
      <w:pPr>
        <w:sectPr>
          <w:type w:val="continuous"/>
          <w:pgSz w:w="11906" w:h="16838"/>
          <w:pgMar w:left="964" w:right="873" w:header="344" w:top="1196" w:footer="197" w:bottom="964" w:gutter="0"/>
          <w:formProt w:val="false"/>
          <w:textDirection w:val="lrTb"/>
          <w:docGrid w:type="default" w:linePitch="312" w:charSpace="4294961151"/>
        </w:sectPr>
      </w:pPr>
    </w:p>
    <w:p>
      <w:pPr>
        <w:pStyle w:val="Normal"/>
        <w:tabs>
          <w:tab w:val="clear" w:pos="708"/>
          <w:tab w:val="left" w:pos="2610" w:leader="none"/>
        </w:tabs>
        <w:rPr>
          <w:rFonts w:ascii="Arial" w:hAnsi="Arial" w:cs="Arial"/>
          <w:sz w:val="32"/>
          <w:szCs w:val="32"/>
        </w:rPr>
      </w:pPr>
      <w:r>
        <w:rPr>
          <w:rFonts w:cs="Arial" w:ascii="Arial" w:hAnsi="Arial"/>
          <w:sz w:val="32"/>
          <w:szCs w:val="32"/>
        </w:rPr>
      </w:r>
    </w:p>
    <w:p>
      <w:pPr>
        <w:sectPr>
          <w:headerReference w:type="even" r:id="rId20"/>
          <w:headerReference w:type="default" r:id="rId21"/>
          <w:footerReference w:type="even" r:id="rId22"/>
          <w:footerReference w:type="default" r:id="rId23"/>
          <w:type w:val="nextPage"/>
          <w:pgSz w:w="11906" w:h="16838"/>
          <w:pgMar w:left="964" w:right="873" w:header="346" w:top="987" w:footer="198" w:bottom="964" w:gutter="0"/>
          <w:pgNumType w:start="2" w:fmt="decimal"/>
          <w:formProt w:val="false"/>
          <w:textDirection w:val="lrTb"/>
          <w:docGrid w:type="default" w:linePitch="360" w:charSpace="0"/>
        </w:sectPr>
        <w:pStyle w:val="Normal"/>
        <w:tabs>
          <w:tab w:val="clear" w:pos="708"/>
          <w:tab w:val="left" w:pos="1680" w:leader="none"/>
        </w:tabs>
        <w:rPr>
          <w:rFonts w:ascii="Arial" w:hAnsi="Arial" w:cs="Arial"/>
          <w:sz w:val="32"/>
          <w:szCs w:val="32"/>
        </w:rPr>
      </w:pPr>
      <w:r>
        <w:rPr>
          <w:rFonts w:cs="Arial" w:ascii="Arial" w:hAnsi="Arial"/>
          <w:sz w:val="32"/>
          <w:szCs w:val="32"/>
        </w:rPr>
        <w:tab/>
      </w:r>
    </w:p>
    <w:p>
      <w:pPr>
        <w:pStyle w:val="ListParagraph"/>
        <w:tabs>
          <w:tab w:val="clear" w:pos="708"/>
          <w:tab w:val="left" w:pos="2455" w:leader="none"/>
        </w:tabs>
        <w:ind w:left="432" w:right="-2" w:hanging="0"/>
        <w:rPr>
          <w:rFonts w:ascii="Arial" w:hAnsi="Arial" w:cs="Arial"/>
          <w:color w:val="484D7A"/>
          <w:sz w:val="32"/>
          <w:szCs w:val="32"/>
        </w:rPr>
      </w:pPr>
      <w:r>
        <w:rPr>
          <w:rFonts w:cs="Arial" w:ascii="Arial" w:hAnsi="Arial"/>
          <w:color w:val="484D7A"/>
          <w:sz w:val="32"/>
          <w:szCs w:val="32"/>
        </w:rPr>
      </w:r>
    </w:p>
    <w:p>
      <w:pPr>
        <w:pStyle w:val="Normal"/>
        <w:ind w:right="-2" w:hanging="0"/>
        <w:rPr>
          <w:rFonts w:ascii="Arial" w:hAnsi="Arial" w:cs="Arial"/>
          <w:color w:val="484D7A"/>
          <w:sz w:val="32"/>
          <w:szCs w:val="32"/>
        </w:rPr>
      </w:pPr>
      <w:r>
        <w:rPr/>
      </w:r>
    </w:p>
    <w:sectPr>
      <w:headerReference w:type="even" r:id="rId24"/>
      <w:headerReference w:type="default" r:id="rId25"/>
      <w:headerReference w:type="first" r:id="rId26"/>
      <w:footerReference w:type="even" r:id="rId27"/>
      <w:footerReference w:type="default" r:id="rId28"/>
      <w:footerReference w:type="first" r:id="rId29"/>
      <w:type w:val="nextPage"/>
      <w:pgSz w:w="11906" w:h="16838"/>
      <w:pgMar w:left="964" w:right="873" w:header="346" w:top="9748" w:footer="198" w:bottom="964" w:gutter="0"/>
      <w:pgNumType w:start="2" w:fmt="decimal"/>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swiss"/>
    <w:pitch w:val="variable"/>
  </w:font>
  <w:font w:name="Arial">
    <w:charset w:val="00"/>
    <w:family w:val="roman"/>
    <w:pitch w:val="variable"/>
  </w:font>
  <w:font w:name="Marianne">
    <w:charset w:val="00"/>
    <w:family w:val="roman"/>
    <w:pitch w:val="variable"/>
  </w:font>
  <w:font w:name="Marianne Medium">
    <w:charset w:val="00"/>
    <w:family w:val="roman"/>
    <w:pitch w:val="variable"/>
  </w:font>
  <w:font w:name="Marianne Light">
    <w:charset w:val="00"/>
    <w:family w:val="roman"/>
    <w:pitch w:val="variable"/>
  </w:font>
  <w:font w:name="Arial">
    <w:charset w:val="01"/>
    <w:family w:val="swiss"/>
    <w:pitch w:val="variable"/>
  </w:font>
  <w:font w:name="Courier New">
    <w:charset w:val="01"/>
    <w:family w:val="modern"/>
    <w:pitch w:val="fixed"/>
  </w:font>
  <w:font w:name="Wingdings">
    <w:charset w:val="02"/>
    <w:family w:val="auto"/>
    <w:pitch w:val="variable"/>
  </w:font>
  <w:font w:name="Symbol">
    <w:charset w:val="02"/>
    <w:family w:val="auto"/>
    <w:pitch w:val="variable"/>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10851658"/>
    </w:sdtPr>
    <w:sdtContent>
      <w:p>
        <w:pPr>
          <w:pStyle w:val="Pieddepage"/>
          <w:rPr>
            <w:rStyle w:val="Pagenumber"/>
            <w:rFonts w:ascii="Arial" w:hAnsi="Arial" w:cs="Arial"/>
            <w:color w:val="484D7A"/>
            <w:sz w:val="22"/>
            <w:szCs w:val="22"/>
          </w:rPr>
        </w:pPr>
        <w:r>
          <w:rPr>
            <w:rStyle w:val="Pagenumber"/>
            <w:rFonts w:cs="Arial" w:ascii="Arial" w:hAnsi="Arial"/>
            <w:color w:val="484D7A"/>
            <w:sz w:val="22"/>
            <w:szCs w:val="22"/>
          </w:rPr>
          <w:fldChar w:fldCharType="begin"/>
        </w:r>
        <w:r>
          <w:rPr>
            <w:rStyle w:val="Pagenumber"/>
            <w:sz w:val="22"/>
            <w:szCs w:val="22"/>
            <w:rFonts w:cs="Arial" w:ascii="Arial" w:hAnsi="Arial"/>
            <w:color w:val="484D7A"/>
          </w:rPr>
          <w:instrText> PAGE </w:instrText>
        </w:r>
        <w:r>
          <w:rPr>
            <w:rStyle w:val="Pagenumber"/>
            <w:sz w:val="22"/>
            <w:szCs w:val="22"/>
            <w:rFonts w:cs="Arial" w:ascii="Arial" w:hAnsi="Arial"/>
            <w:color w:val="484D7A"/>
          </w:rPr>
          <w:fldChar w:fldCharType="separate"/>
        </w:r>
        <w:r>
          <w:rPr>
            <w:rStyle w:val="Pagenumber"/>
            <w:sz w:val="22"/>
            <w:szCs w:val="22"/>
            <w:rFonts w:cs="Arial" w:ascii="Arial" w:hAnsi="Arial"/>
            <w:color w:val="484D7A"/>
          </w:rPr>
          <w:t>2</w:t>
        </w:r>
        <w:r>
          <w:rPr>
            <w:rStyle w:val="Pagenumber"/>
            <w:sz w:val="22"/>
            <w:szCs w:val="22"/>
            <w:rFonts w:cs="Arial" w:ascii="Arial" w:hAnsi="Arial"/>
            <w:color w:val="484D7A"/>
          </w:rPr>
          <w:fldChar w:fldCharType="end"/>
        </w:r>
      </w:p>
    </w:sdtContent>
  </w:sdt>
  <w:p>
    <w:pPr>
      <w:pStyle w:val="Pieddepage"/>
      <w:ind w:right="360" w:firstLine="360"/>
      <w:jc w:val="right"/>
      <w:rPr>
        <w:rFonts w:ascii="Arial" w:hAnsi="Arial" w:cs="Arial"/>
        <w:color w:val="484D7A"/>
        <w:sz w:val="20"/>
        <w:szCs w:val="20"/>
      </w:rPr>
    </w:pPr>
    <w:r>
      <w:rPr>
        <w:rFonts w:cs="Arial" w:ascii="Arial" w:hAnsi="Arial"/>
        <w:color w:val="484D7A"/>
        <w:sz w:val="20"/>
        <w:szCs w:val="20"/>
      </w:rPr>
      <w:t>Résumé non technique – Cartes de Bruit Stratégiques du département 088</w:t>
    </w:r>
  </w:p>
  <w:p>
    <w:pPr>
      <w:pStyle w:val="Pieddepage"/>
      <w:ind w:right="360" w:firstLine="360"/>
      <w:jc w:val="right"/>
      <w:rPr>
        <w:rFonts w:ascii="Arial" w:hAnsi="Arial" w:cs="Arial"/>
      </w:rPr>
    </w:pPr>
    <w:r>
      <w:rPr>
        <w:rFonts w:cs="Arial" w:ascii="Arial" w:hAnsi="Arial"/>
      </w:rPr>
    </w:r>
  </w:p>
</w:ftr>
</file>

<file path=word/footer10.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spacing w:lineRule="auto" w:line="480"/>
      <w:ind w:right="-2" w:hanging="0"/>
      <w:jc w:val="center"/>
      <w:rPr>
        <w:rFonts w:ascii="Arial" w:hAnsi="Arial" w:cs="Arial"/>
        <w:color w:val="A6A6A6" w:themeColor="background1" w:themeShade="a6"/>
        <w:sz w:val="16"/>
        <w:szCs w:val="16"/>
      </w:rPr>
    </w:pPr>
    <w:r>
      <w:rPr>
        <w:rFonts w:cs="Arial" w:ascii="Arial" w:hAnsi="Arial"/>
        <w:color w:val="A6A6A6" w:themeColor="background1" w:themeShade="a6"/>
        <w:sz w:val="16"/>
        <w:szCs w:val="16"/>
      </w:rPr>
      <w:t>Cerema Direction Infrastructure de Transports et Matériaux – 110 rue de Paris  77171 Sourdun</w:t>
    </w:r>
  </w:p>
  <w:p>
    <w:pPr>
      <w:pStyle w:val="Pieddepage"/>
      <w:spacing w:lineRule="auto" w:line="480"/>
      <w:ind w:right="-2" w:hanging="0"/>
      <w:jc w:val="center"/>
      <w:rPr>
        <w:rFonts w:ascii="Arial" w:hAnsi="Arial" w:cs="Arial"/>
        <w:color w:val="A6A6A6" w:themeColor="background1" w:themeShade="a6"/>
        <w:sz w:val="16"/>
        <w:szCs w:val="16"/>
      </w:rPr>
    </w:pPr>
    <w:r>
      <mc:AlternateContent>
        <mc:Choice Requires="wps">
          <w:drawing>
            <wp:anchor behindDoc="1" distT="3175" distB="3175" distL="3175" distR="3175" simplePos="0" locked="0" layoutInCell="0" allowOverlap="1" relativeHeight="13" wp14:anchorId="0DE55E43">
              <wp:simplePos x="0" y="0"/>
              <wp:positionH relativeFrom="column">
                <wp:posOffset>1586865</wp:posOffset>
              </wp:positionH>
              <wp:positionV relativeFrom="paragraph">
                <wp:posOffset>-86360</wp:posOffset>
              </wp:positionV>
              <wp:extent cx="3053715" cy="602615"/>
              <wp:effectExtent l="0" t="0" r="0" b="0"/>
              <wp:wrapNone/>
              <wp:docPr id="36" name="Zone de texte 8"/>
              <a:graphic xmlns:a="http://schemas.openxmlformats.org/drawingml/2006/main">
                <a:graphicData uri="http://schemas.microsoft.com/office/word/2010/wordprocessingShape">
                  <wps:wsp>
                    <wps:cNvSpPr/>
                    <wps:spPr>
                      <a:xfrm>
                        <a:off x="0" y="0"/>
                        <a:ext cx="3053160" cy="601920"/>
                      </a:xfrm>
                      <a:prstGeom prst="rect">
                        <a:avLst/>
                      </a:prstGeom>
                      <a:noFill/>
                      <a:ln w="6350">
                        <a:noFill/>
                      </a:ln>
                    </wps:spPr>
                    <wps:style>
                      <a:lnRef idx="0"/>
                      <a:fillRef idx="0"/>
                      <a:effectRef idx="0"/>
                      <a:fontRef idx="minor"/>
                    </wps:style>
                    <wps:txbx>
                      <w:txbxContent>
                        <w:p>
                          <w:pPr>
                            <w:pStyle w:val="Contenudecadre"/>
                            <w:jc w:val="right"/>
                            <w:rPr>
                              <w:rFonts w:ascii="Arial" w:hAnsi="Arial" w:cs="Arial"/>
                              <w:b/>
                              <w:b/>
                              <w:bCs/>
                              <w:color w:val="A6A6A6" w:themeColor="background1" w:themeShade="a6"/>
                              <w:sz w:val="18"/>
                              <w:szCs w:val="18"/>
                            </w:rPr>
                          </w:pPr>
                          <w:r>
                            <w:rPr>
                              <w:rFonts w:cs="Arial" w:ascii="Arial" w:hAnsi="Arial"/>
                              <w:b/>
                              <w:bCs/>
                              <w:color w:val="A6A6A6" w:themeColor="background1" w:themeShade="a6"/>
                              <w:sz w:val="18"/>
                              <w:szCs w:val="18"/>
                            </w:rPr>
                          </w:r>
                        </w:p>
                        <w:p>
                          <w:pPr>
                            <w:pStyle w:val="Contenudecadre"/>
                            <w:jc w:val="right"/>
                            <w:rPr>
                              <w:rFonts w:ascii="Arial" w:hAnsi="Arial" w:cs="Arial"/>
                              <w:color w:val="A6A6A6" w:themeColor="background1" w:themeShade="a6"/>
                              <w:sz w:val="16"/>
                              <w:szCs w:val="16"/>
                            </w:rPr>
                          </w:pPr>
                          <w:hyperlink r:id="rId1">
                            <w:r>
                              <w:rPr>
                                <w:rStyle w:val="LienInternet"/>
                                <w:rFonts w:cs="Arial" w:ascii="Arial" w:hAnsi="Arial"/>
                                <w:b/>
                                <w:bCs/>
                                <w:color w:val="A6A6A6" w:themeColor="background1" w:themeShade="a6"/>
                                <w:sz w:val="18"/>
                                <w:szCs w:val="18"/>
                                <w:u w:val="none"/>
                              </w:rPr>
                              <w:t>www.cerema.fr</w:t>
                            </w:r>
                          </w:hyperlink>
                          <w:r>
                            <w:rPr>
                              <w:rFonts w:cs="Arial" w:ascii="Arial" w:hAnsi="Arial"/>
                              <w:b/>
                              <w:bCs/>
                              <w:color w:val="A6A6A6" w:themeColor="background1" w:themeShade="a6"/>
                              <w:sz w:val="18"/>
                              <w:szCs w:val="18"/>
                            </w:rPr>
                            <w:t xml:space="preserve">            </w:t>
                          </w:r>
                          <w:r>
                            <w:rPr>
                              <w:rFonts w:cs="Arial" w:ascii="Arial" w:hAnsi="Arial"/>
                              <w:color w:val="A6A6A6" w:themeColor="background1" w:themeShade="a6"/>
                              <w:sz w:val="16"/>
                              <w:szCs w:val="16"/>
                            </w:rPr>
                            <w:t xml:space="preserve"> </w:t>
                          </w:r>
                          <w:hyperlink r:id="rId2">
                            <w:r>
                              <w:rPr>
                                <w:rStyle w:val="LienInternet"/>
                                <w:rFonts w:cs="Arial" w:ascii="Arial" w:hAnsi="Arial"/>
                                <w:color w:val="A6A6A6" w:themeColor="background1" w:themeShade="a6"/>
                                <w:sz w:val="16"/>
                                <w:szCs w:val="16"/>
                                <w:u w:val="none"/>
                              </w:rPr>
                              <w:t>@ceremacom</w:t>
                            </w:r>
                          </w:hyperlink>
                          <w:r>
                            <w:rPr>
                              <w:rFonts w:cs="Arial" w:ascii="Arial" w:hAnsi="Arial"/>
                              <w:color w:val="A6A6A6" w:themeColor="background1" w:themeShade="a6"/>
                              <w:sz w:val="16"/>
                              <w:szCs w:val="16"/>
                            </w:rPr>
                            <w:t xml:space="preserve">            </w:t>
                          </w:r>
                          <w:hyperlink r:id="rId3">
                            <w:r>
                              <w:rPr>
                                <w:rStyle w:val="LienInternet"/>
                                <w:rFonts w:cs="Arial" w:ascii="Arial" w:hAnsi="Arial"/>
                                <w:color w:val="A6A6A6" w:themeColor="background1" w:themeShade="a6"/>
                                <w:sz w:val="16"/>
                                <w:szCs w:val="16"/>
                                <w:u w:val="none"/>
                              </w:rPr>
                              <w:t>@Cerema</w:t>
                            </w:r>
                          </w:hyperlink>
                        </w:p>
                      </w:txbxContent>
                    </wps:txbx>
                    <wps:bodyPr anchor="ctr">
                      <a:prstTxWarp prst="textNoShape"/>
                      <a:noAutofit/>
                    </wps:bodyPr>
                  </wps:wsp>
                </a:graphicData>
              </a:graphic>
            </wp:anchor>
          </w:drawing>
        </mc:Choice>
        <mc:Fallback>
          <w:pict>
            <v:rect id="shape_0" ID="Zone de texte 8" path="m0,0l-2147483645,0l-2147483645,-2147483646l0,-2147483646xe" stroked="f" style="position:absolute;margin-left:124.95pt;margin-top:-6.8pt;width:240.35pt;height:47.35pt;mso-wrap-style:square;v-text-anchor:middle" wp14:anchorId="0DE55E43">
              <v:fill o:detectmouseclick="t" on="false"/>
              <v:stroke color="#3465a4" weight="6480" joinstyle="round" endcap="flat"/>
              <v:textbox>
                <w:txbxContent>
                  <w:p>
                    <w:pPr>
                      <w:pStyle w:val="Contenudecadre"/>
                      <w:jc w:val="right"/>
                      <w:rPr>
                        <w:rFonts w:ascii="Arial" w:hAnsi="Arial" w:cs="Arial"/>
                        <w:b/>
                        <w:b/>
                        <w:bCs/>
                        <w:color w:val="A6A6A6" w:themeColor="background1" w:themeShade="a6"/>
                        <w:sz w:val="18"/>
                        <w:szCs w:val="18"/>
                      </w:rPr>
                    </w:pPr>
                    <w:r>
                      <w:rPr>
                        <w:rFonts w:cs="Arial" w:ascii="Arial" w:hAnsi="Arial"/>
                        <w:b/>
                        <w:bCs/>
                        <w:color w:val="A6A6A6" w:themeColor="background1" w:themeShade="a6"/>
                        <w:sz w:val="18"/>
                        <w:szCs w:val="18"/>
                      </w:rPr>
                    </w:r>
                  </w:p>
                  <w:p>
                    <w:pPr>
                      <w:pStyle w:val="Contenudecadre"/>
                      <w:jc w:val="right"/>
                      <w:rPr>
                        <w:rFonts w:ascii="Arial" w:hAnsi="Arial" w:cs="Arial"/>
                        <w:color w:val="A6A6A6" w:themeColor="background1" w:themeShade="a6"/>
                        <w:sz w:val="16"/>
                        <w:szCs w:val="16"/>
                      </w:rPr>
                    </w:pPr>
                    <w:hyperlink r:id="rId4">
                      <w:r>
                        <w:rPr>
                          <w:rStyle w:val="LienInternet"/>
                          <w:rFonts w:cs="Arial" w:ascii="Arial" w:hAnsi="Arial"/>
                          <w:b/>
                          <w:bCs/>
                          <w:color w:val="A6A6A6" w:themeColor="background1" w:themeShade="a6"/>
                          <w:sz w:val="18"/>
                          <w:szCs w:val="18"/>
                          <w:u w:val="none"/>
                        </w:rPr>
                        <w:t>www.cerema.fr</w:t>
                      </w:r>
                    </w:hyperlink>
                    <w:r>
                      <w:rPr>
                        <w:rFonts w:cs="Arial" w:ascii="Arial" w:hAnsi="Arial"/>
                        <w:b/>
                        <w:bCs/>
                        <w:color w:val="A6A6A6" w:themeColor="background1" w:themeShade="a6"/>
                        <w:sz w:val="18"/>
                        <w:szCs w:val="18"/>
                      </w:rPr>
                      <w:t xml:space="preserve">            </w:t>
                    </w:r>
                    <w:r>
                      <w:rPr>
                        <w:rFonts w:cs="Arial" w:ascii="Arial" w:hAnsi="Arial"/>
                        <w:color w:val="A6A6A6" w:themeColor="background1" w:themeShade="a6"/>
                        <w:sz w:val="16"/>
                        <w:szCs w:val="16"/>
                      </w:rPr>
                      <w:t xml:space="preserve"> </w:t>
                    </w:r>
                    <w:hyperlink r:id="rId5">
                      <w:r>
                        <w:rPr>
                          <w:rStyle w:val="LienInternet"/>
                          <w:rFonts w:cs="Arial" w:ascii="Arial" w:hAnsi="Arial"/>
                          <w:color w:val="A6A6A6" w:themeColor="background1" w:themeShade="a6"/>
                          <w:sz w:val="16"/>
                          <w:szCs w:val="16"/>
                          <w:u w:val="none"/>
                        </w:rPr>
                        <w:t>@ceremacom</w:t>
                      </w:r>
                    </w:hyperlink>
                    <w:r>
                      <w:rPr>
                        <w:rFonts w:cs="Arial" w:ascii="Arial" w:hAnsi="Arial"/>
                        <w:color w:val="A6A6A6" w:themeColor="background1" w:themeShade="a6"/>
                        <w:sz w:val="16"/>
                        <w:szCs w:val="16"/>
                      </w:rPr>
                      <w:t xml:space="preserve">            </w:t>
                    </w:r>
                    <w:hyperlink r:id="rId6">
                      <w:r>
                        <w:rPr>
                          <w:rStyle w:val="LienInternet"/>
                          <w:rFonts w:cs="Arial" w:ascii="Arial" w:hAnsi="Arial"/>
                          <w:color w:val="A6A6A6" w:themeColor="background1" w:themeShade="a6"/>
                          <w:sz w:val="16"/>
                          <w:szCs w:val="16"/>
                          <w:u w:val="none"/>
                        </w:rPr>
                        <w:t>@Cerema</w:t>
                      </w:r>
                    </w:hyperlink>
                  </w:p>
                </w:txbxContent>
              </v:textbox>
              <w10:wrap type="none"/>
            </v:rect>
          </w:pict>
        </mc:Fallback>
      </mc:AlternateContent>
      <mc:AlternateContent>
        <mc:Choice Requires="wps">
          <w:drawing>
            <wp:anchor behindDoc="1" distT="0" distB="0" distL="0" distR="0" simplePos="0" locked="0" layoutInCell="0" allowOverlap="1" relativeHeight="16" wp14:anchorId="00B37153">
              <wp:simplePos x="0" y="0"/>
              <wp:positionH relativeFrom="column">
                <wp:posOffset>3893820</wp:posOffset>
              </wp:positionH>
              <wp:positionV relativeFrom="paragraph">
                <wp:posOffset>223520</wp:posOffset>
              </wp:positionV>
              <wp:extent cx="153035" cy="144145"/>
              <wp:effectExtent l="0" t="0" r="0" b="0"/>
              <wp:wrapNone/>
              <wp:docPr id="38" name="Image 9" descr="Une image contenant texte, clipart, graphiques vectoriels&#10;&#10;Description générée automatiquement"/>
              <a:graphic xmlns:a="http://schemas.openxmlformats.org/drawingml/2006/main">
                <a:graphicData uri="http://schemas.openxmlformats.org/drawingml/2006/picture">
                  <pic:pic xmlns:pic="http://schemas.openxmlformats.org/drawingml/2006/picture">
                    <pic:nvPicPr>
                      <pic:cNvPr id="0" name="Image 9" descr="Une image contenant texte, clipart, graphiques vectoriels&#10;&#10;Description générée automatiquement"/>
                      <pic:cNvPicPr/>
                    </pic:nvPicPr>
                    <pic:blipFill>
                      <a:blip r:embed="rId7">
                        <a:extLst>
                          <a:ext uri="{BEBA8EAE-BF5A-486C-A8C5-ECC9F3942E4B}">
                            <a14:imgProps xmlns:a14="http://schemas.microsoft.com/office/drawing/2010/main">
                              <a14:imgLayer r:embed="rId8">
                                <a14:imgEffect>
                                  <a14:colorTemperature colorTemp="4700"/>
                                </a14:imgEffect>
                              </a14:imgLayer>
                            </a14:imgProps>
                          </a:ext>
                        </a:extLst>
                      </a:blip>
                      <a:stretch/>
                    </pic:blipFill>
                    <pic:spPr>
                      <a:xfrm>
                        <a:off x="0" y="0"/>
                        <a:ext cx="152280" cy="143640"/>
                      </a:xfrm>
                      <a:prstGeom prst="rect">
                        <a:avLst/>
                      </a:prstGeom>
                      <a:ln w="0">
                        <a:noFill/>
                      </a:ln>
                    </pic:spPr>
                  </pic:pic>
                </a:graphicData>
              </a:graphic>
            </wp:anchor>
          </w:drawing>
        </mc:Choice>
        <mc:Fallback>
          <w:pict>
            <v:shapetype id="shapetype_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9" stroked="f" style="position:absolute;margin-left:306.6pt;margin-top:17.6pt;width:11.95pt;height:11.25pt;mso-wrap-style:none;v-text-anchor:middle" wp14:anchorId="00B37153" type="shapetype_75">
              <v:imagedata r:id="rId7" o:detectmouseclick="t"/>
              <v:stroke color="#3465a4" joinstyle="round" endcap="flat"/>
              <w10:wrap type="none"/>
            </v:shape>
          </w:pict>
        </mc:Fallback>
      </mc:AlternateContent>
      <mc:AlternateContent>
        <mc:Choice Requires="wps">
          <w:drawing>
            <wp:anchor behindDoc="1" distT="0" distB="0" distL="0" distR="0" simplePos="0" locked="0" layoutInCell="0" allowOverlap="1" relativeHeight="17" wp14:anchorId="056D3ACB">
              <wp:simplePos x="0" y="0"/>
              <wp:positionH relativeFrom="column">
                <wp:posOffset>2884805</wp:posOffset>
              </wp:positionH>
              <wp:positionV relativeFrom="paragraph">
                <wp:posOffset>222885</wp:posOffset>
              </wp:positionV>
              <wp:extent cx="151765" cy="144145"/>
              <wp:effectExtent l="0" t="0" r="1270" b="0"/>
              <wp:wrapNone/>
              <wp:docPr id="39" name="Image 10"/>
              <a:graphic xmlns:a="http://schemas.openxmlformats.org/drawingml/2006/main">
                <a:graphicData uri="http://schemas.openxmlformats.org/drawingml/2006/picture">
                  <pic:pic xmlns:pic="http://schemas.openxmlformats.org/drawingml/2006/picture">
                    <pic:nvPicPr>
                      <pic:cNvPr id="1" name="Image 10" descr=""/>
                      <pic:cNvPicPr/>
                    </pic:nvPicPr>
                    <pic:blipFill>
                      <a:blip r:embed="rId9">
                        <a:extLst>
                          <a:ext uri="{BEBA8EAE-BF5A-486C-A8C5-ECC9F3942E4B}">
                            <a14:imgProps xmlns:a14="http://schemas.microsoft.com/office/drawing/2010/main">
                              <a14:imgLayer r:embed="rId10">
                                <a14:imgEffect>
                                  <a14:colorTemperature colorTemp="4700"/>
                                </a14:imgEffect>
                              </a14:imgLayer>
                            </a14:imgProps>
                          </a:ext>
                        </a:extLst>
                      </a:blip>
                      <a:stretch/>
                    </pic:blipFill>
                    <pic:spPr>
                      <a:xfrm>
                        <a:off x="0" y="0"/>
                        <a:ext cx="151200" cy="143640"/>
                      </a:xfrm>
                      <a:prstGeom prst="rect">
                        <a:avLst/>
                      </a:prstGeom>
                      <a:ln w="0">
                        <a:noFill/>
                      </a:ln>
                    </pic:spPr>
                  </pic:pic>
                </a:graphicData>
              </a:graphic>
            </wp:anchor>
          </w:drawing>
        </mc:Choice>
        <mc:Fallback>
          <w:pict>
            <v:shape id="shape_0" ID="Image 10" stroked="f" style="position:absolute;margin-left:227.15pt;margin-top:17.55pt;width:11.85pt;height:11.25pt;mso-wrap-style:none;v-text-anchor:middle" wp14:anchorId="056D3ACB" type="shapetype_75">
              <v:imagedata r:id="rId9" o:detectmouseclick="t"/>
              <v:stroke color="#3465a4" joinstyle="round" endcap="flat"/>
              <w10:wrap type="none"/>
            </v:shape>
          </w:pict>
        </mc:Fallback>
      </mc:AlternateContent>
    </w:r>
    <w:r>
      <w:rPr>
        <w:rFonts w:cs="Arial" w:ascii="Arial" w:hAnsi="Arial"/>
        <w:color w:val="A6A6A6" w:themeColor="background1" w:themeShade="a6"/>
        <w:sz w:val="16"/>
        <w:szCs w:val="16"/>
      </w:rPr>
      <w:t>Siège social</w:t>
    </w:r>
    <w:r>
      <w:rPr>
        <w:rFonts w:cs="Arial" w:ascii="Arial" w:hAnsi="Arial"/>
        <w:b/>
        <w:bCs/>
        <w:color w:val="A6A6A6" w:themeColor="background1" w:themeShade="a6"/>
        <w:sz w:val="16"/>
        <w:szCs w:val="16"/>
      </w:rPr>
      <w:t xml:space="preserve"> : </w:t>
    </w:r>
    <w:r>
      <w:rPr>
        <w:rFonts w:cs="Arial" w:ascii="Arial" w:hAnsi="Arial"/>
        <w:color w:val="A6A6A6" w:themeColor="background1" w:themeShade="a6"/>
        <w:sz w:val="16"/>
        <w:szCs w:val="16"/>
      </w:rPr>
      <w:t>Cité des mobilités - 25, avenue François Mitterrand - CS 92 803 - F-69674 Bron Cedex - Tél : +33 (0)4 72 14 30 30</w:t>
    </w:r>
  </w:p>
  <w:p>
    <w:pPr>
      <w:pStyle w:val="Pieddepage"/>
      <w:ind w:right="-2" w:hanging="0"/>
      <w:rPr>
        <w:rFonts w:ascii="Arial" w:hAnsi="Arial" w:cs="Arial"/>
        <w:sz w:val="16"/>
        <w:szCs w:val="16"/>
      </w:rPr>
    </w:pPr>
    <w:r>
      <w:rPr>
        <w:rFonts w:cs="Arial" w:ascii="Arial" w:hAnsi="Arial"/>
        <w:sz w:val="16"/>
        <w:szCs w:val="16"/>
      </w:rPr>
    </w:r>
  </w:p>
  <w:p>
    <w:pPr>
      <w:pStyle w:val="Pieddepage"/>
      <w:ind w:right="-2" w:hanging="0"/>
      <w:rPr>
        <w:rFonts w:ascii="Arial" w:hAnsi="Arial" w:cs="Arial"/>
        <w:sz w:val="16"/>
        <w:szCs w:val="16"/>
      </w:rPr>
    </w:pPr>
    <w:r>
      <w:rPr>
        <w:rFonts w:cs="Arial" w:ascii="Arial" w:hAnsi="Arial"/>
        <w:sz w:val="16"/>
        <w:szCs w:val="16"/>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2060576541"/>
    </w:sdtPr>
    <w:sdtContent>
      <w:p>
        <w:pPr>
          <w:pStyle w:val="Pieddepage"/>
          <w:rPr>
            <w:rStyle w:val="Pagenumber"/>
            <w:rFonts w:ascii="Arial" w:hAnsi="Arial" w:cs="Arial"/>
            <w:color w:val="484D7A"/>
            <w:sz w:val="22"/>
            <w:szCs w:val="22"/>
          </w:rPr>
        </w:pPr>
        <w:r>
          <w:rPr>
            <w:rStyle w:val="Pagenumber"/>
            <w:rFonts w:cs="Arial" w:ascii="Arial" w:hAnsi="Arial"/>
            <w:color w:val="484D7A"/>
            <w:sz w:val="22"/>
            <w:szCs w:val="22"/>
          </w:rPr>
          <w:fldChar w:fldCharType="begin"/>
        </w:r>
        <w:r>
          <w:rPr>
            <w:rStyle w:val="Pagenumber"/>
            <w:sz w:val="22"/>
            <w:szCs w:val="22"/>
            <w:rFonts w:cs="Arial" w:ascii="Arial" w:hAnsi="Arial"/>
            <w:color w:val="484D7A"/>
          </w:rPr>
          <w:instrText> PAGE </w:instrText>
        </w:r>
        <w:r>
          <w:rPr>
            <w:rStyle w:val="Pagenumber"/>
            <w:sz w:val="22"/>
            <w:szCs w:val="22"/>
            <w:rFonts w:cs="Arial" w:ascii="Arial" w:hAnsi="Arial"/>
            <w:color w:val="484D7A"/>
          </w:rPr>
          <w:fldChar w:fldCharType="separate"/>
        </w:r>
        <w:r>
          <w:rPr>
            <w:rStyle w:val="Pagenumber"/>
            <w:sz w:val="22"/>
            <w:szCs w:val="22"/>
            <w:rFonts w:cs="Arial" w:ascii="Arial" w:hAnsi="Arial"/>
            <w:color w:val="484D7A"/>
          </w:rPr>
          <w:t>0</w:t>
        </w:r>
        <w:r>
          <w:rPr>
            <w:rStyle w:val="Pagenumber"/>
            <w:sz w:val="22"/>
            <w:szCs w:val="22"/>
            <w:rFonts w:cs="Arial" w:ascii="Arial" w:hAnsi="Arial"/>
            <w:color w:val="484D7A"/>
          </w:rPr>
          <w:fldChar w:fldCharType="end"/>
        </w:r>
      </w:p>
    </w:sdtContent>
  </w:sdt>
  <w:p>
    <w:pPr>
      <w:pStyle w:val="Pieddepage"/>
      <w:ind w:right="360" w:hanging="0"/>
      <w:rPr>
        <w:rFonts w:ascii="Arial" w:hAnsi="Arial" w:cs="Arial"/>
        <w:color w:val="484D7A"/>
        <w:sz w:val="20"/>
        <w:szCs w:val="20"/>
      </w:rPr>
    </w:pPr>
    <w:r>
      <w:rPr>
        <w:rFonts w:cs="Arial" w:ascii="Arial" w:hAnsi="Arial"/>
        <w:color w:val="484D7A"/>
        <w:sz w:val="20"/>
        <w:szCs w:val="20"/>
      </w:rPr>
      <w:t>Résumé non technique – Cartes de Bruit Stratégiques du département 088</w:t>
    </w:r>
  </w:p>
  <w:p>
    <w:pPr>
      <w:pStyle w:val="Pieddepage"/>
      <w:ind w:right="360" w:hanging="0"/>
      <w:rPr>
        <w:rFonts w:ascii="Arial" w:hAnsi="Arial" w:cs="Arial"/>
        <w:color w:val="484D7A"/>
        <w:sz w:val="20"/>
        <w:szCs w:val="20"/>
      </w:rPr>
    </w:pPr>
    <w:r>
      <w:rPr>
        <w:rFonts w:cs="Arial" w:ascii="Arial" w:hAnsi="Arial"/>
        <w:color w:val="484D7A"/>
        <w:sz w:val="20"/>
        <w:szCs w:val="2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right="-2" w:hanging="0"/>
      <w:rPr/>
    </w:pPr>
    <w:r>
      <w:rPr/>
    </w:r>
  </w:p>
  <w:p>
    <w:pPr>
      <w:pStyle w:val="Pieddepage"/>
      <w:ind w:right="-2" w:hanging="0"/>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874072134"/>
    </w:sdtPr>
    <w:sdtContent>
      <w:p>
        <w:pPr>
          <w:pStyle w:val="Pieddepage"/>
          <w:rPr>
            <w:rStyle w:val="Pagenumber"/>
            <w:rFonts w:ascii="Arial" w:hAnsi="Arial" w:cs="Arial"/>
            <w:color w:val="484D7A"/>
            <w:sz w:val="22"/>
            <w:szCs w:val="22"/>
          </w:rPr>
        </w:pPr>
        <w:r>
          <w:rPr>
            <w:rStyle w:val="Pagenumber"/>
            <w:rFonts w:cs="Arial" w:ascii="Arial" w:hAnsi="Arial"/>
            <w:color w:val="484D7A"/>
            <w:sz w:val="22"/>
            <w:szCs w:val="22"/>
          </w:rPr>
          <w:fldChar w:fldCharType="begin"/>
        </w:r>
        <w:r>
          <w:rPr>
            <w:rStyle w:val="Pagenumber"/>
            <w:sz w:val="22"/>
            <w:szCs w:val="22"/>
            <w:rFonts w:cs="Arial" w:ascii="Arial" w:hAnsi="Arial"/>
            <w:color w:val="484D7A"/>
          </w:rPr>
          <w:instrText> PAGE </w:instrText>
        </w:r>
        <w:r>
          <w:rPr>
            <w:rStyle w:val="Pagenumber"/>
            <w:sz w:val="22"/>
            <w:szCs w:val="22"/>
            <w:rFonts w:cs="Arial" w:ascii="Arial" w:hAnsi="Arial"/>
            <w:color w:val="484D7A"/>
          </w:rPr>
          <w:fldChar w:fldCharType="separate"/>
        </w:r>
        <w:r>
          <w:rPr>
            <w:rStyle w:val="Pagenumber"/>
            <w:sz w:val="22"/>
            <w:szCs w:val="22"/>
            <w:rFonts w:cs="Arial" w:ascii="Arial" w:hAnsi="Arial"/>
            <w:color w:val="484D7A"/>
          </w:rPr>
          <w:t>30</w:t>
        </w:r>
        <w:r>
          <w:rPr>
            <w:rStyle w:val="Pagenumber"/>
            <w:sz w:val="22"/>
            <w:szCs w:val="22"/>
            <w:rFonts w:cs="Arial" w:ascii="Arial" w:hAnsi="Arial"/>
            <w:color w:val="484D7A"/>
          </w:rPr>
          <w:fldChar w:fldCharType="end"/>
        </w:r>
      </w:p>
    </w:sdtContent>
  </w:sdt>
  <w:p>
    <w:pPr>
      <w:pStyle w:val="Pieddepage"/>
      <w:ind w:right="360" w:firstLine="360"/>
      <w:jc w:val="right"/>
      <w:rPr>
        <w:rFonts w:ascii="Arial" w:hAnsi="Arial" w:cs="Arial"/>
        <w:color w:val="484D7A"/>
        <w:sz w:val="20"/>
        <w:szCs w:val="20"/>
      </w:rPr>
    </w:pPr>
    <w:r>
      <w:rPr>
        <w:rFonts w:cs="Arial" w:ascii="Arial" w:hAnsi="Arial"/>
        <w:color w:val="484D7A"/>
        <w:sz w:val="20"/>
        <w:szCs w:val="20"/>
      </w:rPr>
      <w:t>Résumé non technique – Cartes de Bruit Stratégiques du département 088</w:t>
    </w:r>
  </w:p>
  <w:p>
    <w:pPr>
      <w:pStyle w:val="Pieddepage"/>
      <w:ind w:right="360" w:firstLine="360"/>
      <w:jc w:val="right"/>
      <w:rPr>
        <w:rFonts w:ascii="Arial" w:hAnsi="Arial" w:cs="Arial"/>
      </w:rPr>
    </w:pPr>
    <w:r>
      <w:rPr>
        <w:rFonts w:cs="Arial" w:ascii="Arial" w:hAnsi="Arial"/>
      </w:rPr>
    </w:r>
  </w:p>
</w:ftr>
</file>

<file path=word/footer5.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999317027"/>
    </w:sdtPr>
    <w:sdtContent>
      <w:p>
        <w:pPr>
          <w:pStyle w:val="Pieddepage"/>
          <w:rPr>
            <w:rStyle w:val="Pagenumber"/>
            <w:rFonts w:ascii="Arial" w:hAnsi="Arial" w:cs="Arial"/>
            <w:color w:val="484D7A"/>
            <w:sz w:val="22"/>
            <w:szCs w:val="22"/>
          </w:rPr>
        </w:pPr>
        <w:r>
          <w:rPr>
            <w:rStyle w:val="Pagenumber"/>
            <w:rFonts w:cs="Arial" w:ascii="Arial" w:hAnsi="Arial"/>
            <w:color w:val="484D7A"/>
            <w:sz w:val="22"/>
            <w:szCs w:val="22"/>
          </w:rPr>
          <w:fldChar w:fldCharType="begin"/>
        </w:r>
        <w:r>
          <w:rPr>
            <w:rStyle w:val="Pagenumber"/>
            <w:sz w:val="22"/>
            <w:szCs w:val="22"/>
            <w:rFonts w:cs="Arial" w:ascii="Arial" w:hAnsi="Arial"/>
            <w:color w:val="484D7A"/>
          </w:rPr>
          <w:instrText> PAGE </w:instrText>
        </w:r>
        <w:r>
          <w:rPr>
            <w:rStyle w:val="Pagenumber"/>
            <w:sz w:val="22"/>
            <w:szCs w:val="22"/>
            <w:rFonts w:cs="Arial" w:ascii="Arial" w:hAnsi="Arial"/>
            <w:color w:val="484D7A"/>
          </w:rPr>
          <w:fldChar w:fldCharType="separate"/>
        </w:r>
        <w:r>
          <w:rPr>
            <w:rStyle w:val="Pagenumber"/>
            <w:sz w:val="22"/>
            <w:szCs w:val="22"/>
            <w:rFonts w:cs="Arial" w:ascii="Arial" w:hAnsi="Arial"/>
            <w:color w:val="484D7A"/>
          </w:rPr>
          <w:t>29</w:t>
        </w:r>
        <w:r>
          <w:rPr>
            <w:rStyle w:val="Pagenumber"/>
            <w:sz w:val="22"/>
            <w:szCs w:val="22"/>
            <w:rFonts w:cs="Arial" w:ascii="Arial" w:hAnsi="Arial"/>
            <w:color w:val="484D7A"/>
          </w:rPr>
          <w:fldChar w:fldCharType="end"/>
        </w:r>
      </w:p>
    </w:sdtContent>
  </w:sdt>
  <w:p>
    <w:pPr>
      <w:pStyle w:val="Pieddepage"/>
      <w:ind w:right="360" w:hanging="0"/>
      <w:rPr>
        <w:rFonts w:ascii="Arial" w:hAnsi="Arial" w:cs="Arial"/>
        <w:color w:val="484D7A"/>
        <w:sz w:val="20"/>
        <w:szCs w:val="20"/>
      </w:rPr>
    </w:pPr>
    <w:r>
      <w:rPr>
        <w:rFonts w:cs="Arial" w:ascii="Arial" w:hAnsi="Arial"/>
        <w:color w:val="484D7A"/>
        <w:sz w:val="20"/>
        <w:szCs w:val="20"/>
      </w:rPr>
      <w:t>Résumé non technique – Cartes de Bruit Stratégiques du département 088</w:t>
    </w:r>
  </w:p>
  <w:p>
    <w:pPr>
      <w:pStyle w:val="Pieddepage"/>
      <w:ind w:right="360" w:hanging="0"/>
      <w:rPr>
        <w:rFonts w:ascii="Arial" w:hAnsi="Arial" w:cs="Arial"/>
        <w:color w:val="484D7A"/>
        <w:sz w:val="20"/>
        <w:szCs w:val="20"/>
      </w:rPr>
    </w:pPr>
    <w:r>
      <w:rPr>
        <w:rFonts w:cs="Arial" w:ascii="Arial" w:hAnsi="Arial"/>
        <w:color w:val="484D7A"/>
        <w:sz w:val="20"/>
        <w:szCs w:val="20"/>
      </w:rPr>
    </w:r>
  </w:p>
</w:ftr>
</file>

<file path=word/footer6.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right="360" w:firstLine="360"/>
      <w:rPr>
        <w:rFonts w:ascii="Marianne" w:hAnsi="Marianne"/>
        <w:color w:val="484D7A"/>
        <w:sz w:val="22"/>
        <w:szCs w:val="22"/>
      </w:rPr>
    </w:pPr>
    <w:r>
      <w:rPr>
        <w:rFonts w:ascii="Marianne" w:hAnsi="Marianne"/>
        <w:color w:val="484D7A"/>
        <w:sz w:val="22"/>
        <w:szCs w:val="22"/>
      </w:rPr>
    </w:r>
  </w:p>
  <w:p>
    <w:pPr>
      <w:pStyle w:val="Pieddepage"/>
      <w:ind w:right="-2" w:hanging="0"/>
      <w:rPr>
        <w:rFonts w:ascii="Marianne" w:hAnsi="Marianne"/>
        <w:color w:val="484D7A"/>
        <w:sz w:val="22"/>
        <w:szCs w:val="22"/>
      </w:rPr>
    </w:pPr>
    <w:r>
      <w:rPr>
        <w:rFonts w:ascii="Marianne" w:hAnsi="Marianne"/>
        <w:color w:val="484D7A"/>
        <w:sz w:val="22"/>
        <w:szCs w:val="22"/>
      </w:rPr>
    </w:r>
  </w:p>
</w:ftr>
</file>

<file path=word/footer7.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eddepage"/>
      <w:ind w:right="360" w:firstLine="360"/>
      <w:rPr>
        <w:rFonts w:ascii="Marianne" w:hAnsi="Marianne"/>
        <w:color w:val="484D7A"/>
        <w:sz w:val="22"/>
        <w:szCs w:val="22"/>
      </w:rPr>
    </w:pPr>
    <w:r>
      <w:rPr>
        <w:rFonts w:ascii="Marianne" w:hAnsi="Marianne"/>
        <w:color w:val="484D7A"/>
        <w:sz w:val="22"/>
        <w:szCs w:val="22"/>
      </w:rPr>
    </w:r>
  </w:p>
  <w:p>
    <w:pPr>
      <w:pStyle w:val="Pieddepage"/>
      <w:ind w:right="-2" w:hanging="0"/>
      <w:rPr>
        <w:rFonts w:ascii="Marianne" w:hAnsi="Marianne"/>
        <w:color w:val="484D7A"/>
        <w:sz w:val="22"/>
        <w:szCs w:val="22"/>
      </w:rPr>
    </w:pPr>
    <w:r>
      <w:rPr>
        <w:rFonts w:ascii="Marianne" w:hAnsi="Marianne"/>
        <w:color w:val="484D7A"/>
        <w:sz w:val="22"/>
        <w:szCs w:val="22"/>
      </w:rPr>
    </w:r>
  </w:p>
</w:ftr>
</file>

<file path=word/footer8.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654363898"/>
    </w:sdtPr>
    <w:sdtContent>
      <w:p>
        <w:pPr>
          <w:pStyle w:val="Pieddepage"/>
          <w:rPr>
            <w:rStyle w:val="Pagenumber"/>
            <w:rFonts w:ascii="Arial" w:hAnsi="Arial" w:cs="Arial"/>
            <w:color w:val="484D7A"/>
            <w:sz w:val="22"/>
            <w:szCs w:val="22"/>
          </w:rPr>
        </w:pPr>
        <w:r>
          <w:rPr>
            <w:rStyle w:val="Pagenumber"/>
            <w:rFonts w:cs="Arial" w:ascii="Arial" w:hAnsi="Arial"/>
            <w:color w:val="484D7A"/>
            <w:sz w:val="22"/>
            <w:szCs w:val="22"/>
          </w:rPr>
          <w:fldChar w:fldCharType="begin"/>
        </w:r>
        <w:r>
          <w:rPr>
            <w:rStyle w:val="Pagenumber"/>
            <w:sz w:val="22"/>
            <w:szCs w:val="22"/>
            <w:rFonts w:cs="Arial" w:ascii="Arial" w:hAnsi="Arial"/>
            <w:color w:val="484D7A"/>
          </w:rPr>
          <w:instrText> PAGE </w:instrText>
        </w:r>
        <w:r>
          <w:rPr>
            <w:rStyle w:val="Pagenumber"/>
            <w:sz w:val="22"/>
            <w:szCs w:val="22"/>
            <w:rFonts w:cs="Arial" w:ascii="Arial" w:hAnsi="Arial"/>
            <w:color w:val="484D7A"/>
          </w:rPr>
          <w:fldChar w:fldCharType="separate"/>
        </w:r>
        <w:r>
          <w:rPr>
            <w:rStyle w:val="Pagenumber"/>
            <w:sz w:val="22"/>
            <w:szCs w:val="22"/>
            <w:rFonts w:cs="Arial" w:ascii="Arial" w:hAnsi="Arial"/>
            <w:color w:val="484D7A"/>
          </w:rPr>
          <w:t>0</w:t>
        </w:r>
        <w:r>
          <w:rPr>
            <w:rStyle w:val="Pagenumber"/>
            <w:sz w:val="22"/>
            <w:szCs w:val="22"/>
            <w:rFonts w:cs="Arial" w:ascii="Arial" w:hAnsi="Arial"/>
            <w:color w:val="484D7A"/>
          </w:rPr>
          <w:fldChar w:fldCharType="end"/>
        </w:r>
      </w:p>
    </w:sdtContent>
  </w:sdt>
  <w:p>
    <w:pPr>
      <w:pStyle w:val="Pieddepage"/>
      <w:ind w:right="360" w:firstLine="360"/>
      <w:jc w:val="right"/>
      <w:rPr>
        <w:rFonts w:ascii="Arial" w:hAnsi="Arial" w:cs="Arial"/>
        <w:color w:val="484D7A"/>
        <w:sz w:val="20"/>
        <w:szCs w:val="20"/>
      </w:rPr>
    </w:pPr>
    <w:r>
      <w:rPr>
        <w:rFonts w:cs="Arial" w:ascii="Arial" w:hAnsi="Arial"/>
        <w:color w:val="484D7A"/>
        <w:sz w:val="20"/>
        <w:szCs w:val="20"/>
      </w:rPr>
      <w:t>Résumé non technique – Cartes de Bruit Stratégiques du département 088</w:t>
    </w:r>
  </w:p>
  <w:p>
    <w:pPr>
      <w:pStyle w:val="Pieddepage"/>
      <w:ind w:right="360" w:firstLine="360"/>
      <w:jc w:val="right"/>
      <w:rPr>
        <w:rFonts w:ascii="Arial" w:hAnsi="Arial" w:cs="Arial"/>
      </w:rPr>
    </w:pPr>
    <w:r>
      <w:rPr>
        <w:rFonts w:cs="Arial" w:ascii="Arial" w:hAnsi="Arial"/>
      </w:rPr>
    </w:r>
  </w:p>
</w:ftr>
</file>

<file path=word/footer9.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451107216"/>
    </w:sdtPr>
    <w:sdtContent>
      <w:p>
        <w:pPr>
          <w:pStyle w:val="Pieddepage"/>
          <w:rPr>
            <w:rStyle w:val="Pagenumber"/>
            <w:rFonts w:ascii="Arial" w:hAnsi="Arial" w:cs="Arial"/>
            <w:color w:val="484D7A"/>
            <w:sz w:val="22"/>
            <w:szCs w:val="22"/>
          </w:rPr>
        </w:pPr>
        <w:r>
          <w:rPr>
            <w:rStyle w:val="Pagenumber"/>
            <w:rFonts w:cs="Arial" w:ascii="Arial" w:hAnsi="Arial"/>
            <w:color w:val="484D7A"/>
            <w:sz w:val="22"/>
            <w:szCs w:val="22"/>
          </w:rPr>
          <w:fldChar w:fldCharType="begin"/>
        </w:r>
        <w:r>
          <w:rPr>
            <w:rStyle w:val="Pagenumber"/>
            <w:sz w:val="22"/>
            <w:szCs w:val="22"/>
            <w:rFonts w:cs="Arial" w:ascii="Arial" w:hAnsi="Arial"/>
            <w:color w:val="484D7A"/>
          </w:rPr>
          <w:instrText> PAGE </w:instrText>
        </w:r>
        <w:r>
          <w:rPr>
            <w:rStyle w:val="Pagenumber"/>
            <w:sz w:val="22"/>
            <w:szCs w:val="22"/>
            <w:rFonts w:cs="Arial" w:ascii="Arial" w:hAnsi="Arial"/>
            <w:color w:val="484D7A"/>
          </w:rPr>
          <w:fldChar w:fldCharType="separate"/>
        </w:r>
        <w:r>
          <w:rPr>
            <w:rStyle w:val="Pagenumber"/>
            <w:sz w:val="22"/>
            <w:szCs w:val="22"/>
            <w:rFonts w:cs="Arial" w:ascii="Arial" w:hAnsi="Arial"/>
            <w:color w:val="484D7A"/>
          </w:rPr>
          <w:t>3</w:t>
        </w:r>
        <w:r>
          <w:rPr>
            <w:rStyle w:val="Pagenumber"/>
            <w:sz w:val="22"/>
            <w:szCs w:val="22"/>
            <w:rFonts w:cs="Arial" w:ascii="Arial" w:hAnsi="Arial"/>
            <w:color w:val="484D7A"/>
          </w:rPr>
          <w:fldChar w:fldCharType="end"/>
        </w:r>
      </w:p>
    </w:sdtContent>
  </w:sdt>
  <w:p>
    <w:pPr>
      <w:pStyle w:val="Pieddepage"/>
      <w:ind w:right="360" w:hanging="0"/>
      <w:rPr>
        <w:rFonts w:ascii="Arial" w:hAnsi="Arial" w:cs="Arial"/>
        <w:color w:val="484D7A"/>
        <w:sz w:val="20"/>
        <w:szCs w:val="20"/>
      </w:rPr>
    </w:pPr>
    <w:r>
      <w:rPr>
        <w:rFonts w:cs="Arial" w:ascii="Arial" w:hAnsi="Arial"/>
        <w:color w:val="484D7A"/>
        <w:sz w:val="20"/>
        <w:szCs w:val="20"/>
      </w:rPr>
      <w:t>Résumé non technique – Cartes de Bruit Stratégiques du département 088</w:t>
    </w:r>
  </w:p>
  <w:p>
    <w:pPr>
      <w:pStyle w:val="Pieddepage"/>
      <w:ind w:right="360" w:hanging="0"/>
      <w:rPr>
        <w:rFonts w:ascii="Arial" w:hAnsi="Arial" w:cs="Arial"/>
        <w:color w:val="484D7A"/>
        <w:sz w:val="20"/>
        <w:szCs w:val="20"/>
      </w:rPr>
    </w:pPr>
    <w:r>
      <w:rPr>
        <w:rFonts w:cs="Arial" w:ascii="Arial" w:hAnsi="Arial"/>
        <w:color w:val="484D7A"/>
        <w:sz w:val="20"/>
        <w:szCs w:val="20"/>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header10.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ind w:right="-283" w:hanging="0"/>
      <w:rPr/>
    </w:pPr>
    <w:r>
      <w:rPr/>
      <w:drawing>
        <wp:anchor behindDoc="1" distT="0" distB="0" distL="114300" distR="114300" simplePos="0" locked="0" layoutInCell="0" allowOverlap="1" relativeHeight="34">
          <wp:simplePos x="0" y="0"/>
          <wp:positionH relativeFrom="margin">
            <wp:posOffset>1673225</wp:posOffset>
          </wp:positionH>
          <wp:positionV relativeFrom="margin">
            <wp:posOffset>-3023870</wp:posOffset>
          </wp:positionV>
          <wp:extent cx="3100070" cy="2856865"/>
          <wp:effectExtent l="0" t="0" r="0" b="0"/>
          <wp:wrapSquare wrapText="bothSides"/>
          <wp:docPr id="34"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2" descr=""/>
                  <pic:cNvPicPr>
                    <a:picLocks noChangeAspect="1" noChangeArrowheads="1"/>
                  </pic:cNvPicPr>
                </pic:nvPicPr>
                <pic:blipFill>
                  <a:blip r:embed="rId1"/>
                  <a:stretch>
                    <a:fillRect/>
                  </a:stretch>
                </pic:blipFill>
                <pic:spPr bwMode="auto">
                  <a:xfrm>
                    <a:off x="0" y="0"/>
                    <a:ext cx="3100070" cy="2856865"/>
                  </a:xfrm>
                  <a:prstGeom prst="rect">
                    <a:avLst/>
                  </a:prstGeom>
                </pic:spPr>
              </pic:pic>
            </a:graphicData>
          </a:graphic>
        </wp:anchor>
      </w:drawing>
      <w:drawing>
        <wp:anchor behindDoc="1" distT="0" distB="0" distL="114300" distR="114300" simplePos="0" locked="0" layoutInCell="0" allowOverlap="1" relativeHeight="35">
          <wp:simplePos x="0" y="0"/>
          <wp:positionH relativeFrom="margin">
            <wp:posOffset>-428625</wp:posOffset>
          </wp:positionH>
          <wp:positionV relativeFrom="margin">
            <wp:posOffset>-5969635</wp:posOffset>
          </wp:positionV>
          <wp:extent cx="1212850" cy="1100455"/>
          <wp:effectExtent l="0" t="0" r="0" b="0"/>
          <wp:wrapSquare wrapText="bothSides"/>
          <wp:docPr id="35"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1" descr=""/>
                  <pic:cNvPicPr>
                    <a:picLocks noChangeAspect="1" noChangeArrowheads="1"/>
                  </pic:cNvPicPr>
                </pic:nvPicPr>
                <pic:blipFill>
                  <a:blip r:embed="rId2"/>
                  <a:stretch>
                    <a:fillRect/>
                  </a:stretch>
                </pic:blipFill>
                <pic:spPr bwMode="auto">
                  <a:xfrm>
                    <a:off x="0" y="0"/>
                    <a:ext cx="1212850" cy="1100455"/>
                  </a:xfrm>
                  <a:prstGeom prst="rect">
                    <a:avLst/>
                  </a:prstGeom>
                </pic:spPr>
              </pic:pic>
            </a:graphicData>
          </a:graphic>
        </wp:anchor>
      </w:drawing>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drawing>
        <wp:anchor behindDoc="1" distT="0" distB="0" distL="114300" distR="114300" simplePos="0" locked="0" layoutInCell="1" allowOverlap="1" relativeHeight="0">
          <wp:simplePos x="0" y="0"/>
          <wp:positionH relativeFrom="margin">
            <wp:posOffset>5361305</wp:posOffset>
          </wp:positionH>
          <wp:positionV relativeFrom="margin">
            <wp:posOffset>-510540</wp:posOffset>
          </wp:positionV>
          <wp:extent cx="1381760" cy="338455"/>
          <wp:effectExtent l="0" t="0" r="0" b="0"/>
          <wp:wrapSquare wrapText="bothSides"/>
          <wp:docPr id="10"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29" descr=""/>
                  <pic:cNvPicPr>
                    <a:picLocks noChangeAspect="1" noChangeArrowheads="1"/>
                  </pic:cNvPicPr>
                </pic:nvPicPr>
                <pic:blipFill>
                  <a:blip r:embed="rId1"/>
                  <a:stretch>
                    <a:fillRect/>
                  </a:stretch>
                </pic:blipFill>
                <pic:spPr bwMode="auto">
                  <a:xfrm>
                    <a:off x="0" y="0"/>
                    <a:ext cx="1381760" cy="338455"/>
                  </a:xfrm>
                  <a:prstGeom prst="rect">
                    <a:avLst/>
                  </a:prstGeom>
                </pic:spPr>
              </pic:pic>
            </a:graphicData>
          </a:graphic>
        </wp:anchor>
      </w:drawing>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ind w:right="-283" w:hanging="0"/>
      <w:rPr/>
    </w:pPr>
    <w:r>
      <w:rPr/>
      <w:drawing>
        <wp:anchor behindDoc="1" distT="0" distB="0" distL="114300" distR="114300" simplePos="0" locked="0" layoutInCell="0" allowOverlap="1" relativeHeight="19">
          <wp:simplePos x="0" y="0"/>
          <wp:positionH relativeFrom="margin">
            <wp:posOffset>3328035</wp:posOffset>
          </wp:positionH>
          <wp:positionV relativeFrom="margin">
            <wp:posOffset>-1043940</wp:posOffset>
          </wp:positionV>
          <wp:extent cx="3145155" cy="905510"/>
          <wp:effectExtent l="0" t="0" r="0" b="0"/>
          <wp:wrapSquare wrapText="bothSides"/>
          <wp:docPr id="11"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
                  <pic:cNvPicPr>
                    <a:picLocks noChangeAspect="1" noChangeArrowheads="1"/>
                  </pic:cNvPicPr>
                </pic:nvPicPr>
                <pic:blipFill>
                  <a:blip r:embed="rId1"/>
                  <a:srcRect l="0" t="0" r="14945" b="0"/>
                  <a:stretch>
                    <a:fillRect/>
                  </a:stretch>
                </pic:blipFill>
                <pic:spPr bwMode="auto">
                  <a:xfrm>
                    <a:off x="0" y="0"/>
                    <a:ext cx="3145155" cy="905510"/>
                  </a:xfrm>
                  <a:prstGeom prst="rect">
                    <a:avLst/>
                  </a:prstGeom>
                </pic:spPr>
              </pic:pic>
            </a:graphicData>
          </a:graphic>
        </wp:anchor>
      </w:drawing>
      <w:drawing>
        <wp:inline distT="0" distB="0" distL="0" distR="0">
          <wp:extent cx="1026160" cy="914400"/>
          <wp:effectExtent l="0" t="0" r="0" b="0"/>
          <wp:docPr id="12"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6" descr=""/>
                  <pic:cNvPicPr>
                    <a:picLocks noChangeAspect="1" noChangeArrowheads="1"/>
                  </pic:cNvPicPr>
                </pic:nvPicPr>
                <pic:blipFill>
                  <a:blip r:embed="rId2"/>
                  <a:stretch>
                    <a:fillRect/>
                  </a:stretch>
                </pic:blipFill>
                <pic:spPr bwMode="auto">
                  <a:xfrm>
                    <a:off x="0" y="0"/>
                    <a:ext cx="1026160" cy="914400"/>
                  </a:xfrm>
                  <a:prstGeom prst="rect">
                    <a:avLst/>
                  </a:prstGeom>
                </pic:spPr>
              </pic:pic>
            </a:graphicData>
          </a:graphic>
        </wp:inline>
      </w:drawing>
    </w:r>
  </w:p>
</w:hdr>
</file>

<file path=word/header4.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drawing>
        <wp:anchor behindDoc="1" distT="0" distB="0" distL="114300" distR="114300" simplePos="0" locked="0" layoutInCell="0" allowOverlap="1" relativeHeight="26">
          <wp:simplePos x="0" y="0"/>
          <wp:positionH relativeFrom="margin">
            <wp:posOffset>5361305</wp:posOffset>
          </wp:positionH>
          <wp:positionV relativeFrom="margin">
            <wp:posOffset>-460375</wp:posOffset>
          </wp:positionV>
          <wp:extent cx="1381760" cy="337820"/>
          <wp:effectExtent l="0" t="0" r="0" b="0"/>
          <wp:wrapSquare wrapText="bothSides"/>
          <wp:docPr id="33" name="Image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5" descr=""/>
                  <pic:cNvPicPr>
                    <a:picLocks noChangeAspect="1" noChangeArrowheads="1"/>
                  </pic:cNvPicPr>
                </pic:nvPicPr>
                <pic:blipFill>
                  <a:blip r:embed="rId1"/>
                  <a:stretch>
                    <a:fillRect/>
                  </a:stretch>
                </pic:blipFill>
                <pic:spPr bwMode="auto">
                  <a:xfrm>
                    <a:off x="0" y="0"/>
                    <a:ext cx="1381760" cy="337820"/>
                  </a:xfrm>
                  <a:prstGeom prst="rect">
                    <a:avLst/>
                  </a:prstGeom>
                </pic:spPr>
              </pic:pic>
            </a:graphicData>
          </a:graphic>
        </wp:anchor>
      </w:drawing>
    </w:r>
  </w:p>
</w:hdr>
</file>

<file path=word/header5.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header6.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ind w:right="-283" w:hanging="0"/>
      <w:rPr/>
    </w:pPr>
    <w:r>
      <w:rPr/>
    </w:r>
  </w:p>
</w:hdr>
</file>

<file path=word/header7.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ind w:right="-283" w:hanging="0"/>
      <w:rPr/>
    </w:pPr>
    <w:r>
      <w:rPr/>
    </w:r>
  </w:p>
</w:hdr>
</file>

<file path=word/header8.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header9.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Entte"/>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Titre1"/>
      <w:numFmt w:val="decimal"/>
      <w:lvlText w:val="%1"/>
      <w:lvlJc w:val="left"/>
      <w:pPr>
        <w:tabs>
          <w:tab w:val="num" w:pos="0"/>
        </w:tabs>
        <w:ind w:left="432" w:hanging="432"/>
      </w:pPr>
      <w:rPr>
        <w:i w:val="false"/>
        <w:b/>
        <w:color w:val="484D7A"/>
      </w:rPr>
    </w:lvl>
    <w:lvl w:ilvl="1">
      <w:start w:val="1"/>
      <w:pStyle w:val="Titre2"/>
      <w:numFmt w:val="decimal"/>
      <w:lvlText w:val="%1.%2"/>
      <w:lvlJc w:val="left"/>
      <w:pPr>
        <w:tabs>
          <w:tab w:val="num" w:pos="0"/>
        </w:tabs>
        <w:ind w:left="576" w:hanging="576"/>
      </w:pPr>
      <w:rPr>
        <w:i w:val="false"/>
        <w:b w:val="false"/>
        <w:rFonts w:ascii="Arial" w:hAnsi="Arial"/>
        <w:color w:val="484D7A"/>
      </w:rPr>
    </w:lvl>
    <w:lvl w:ilvl="2">
      <w:start w:val="1"/>
      <w:pStyle w:val="Titre3"/>
      <w:numFmt w:val="decimal"/>
      <w:lvlText w:val="%1.%2.%3"/>
      <w:lvlJc w:val="left"/>
      <w:pPr>
        <w:tabs>
          <w:tab w:val="num" w:pos="0"/>
        </w:tabs>
        <w:ind w:left="720" w:hanging="720"/>
      </w:pPr>
      <w:rPr>
        <w:sz w:val="24"/>
        <w:i w:val="false"/>
        <w:b w:val="false"/>
        <w:rFonts w:ascii="Arial" w:hAnsi="Arial"/>
        <w:color w:val="484D7A"/>
      </w:rPr>
    </w:lvl>
    <w:lvl w:ilvl="3">
      <w:start w:val="1"/>
      <w:pStyle w:val="Titre4"/>
      <w:numFmt w:val="decimal"/>
      <w:lvlText w:val="%1.%2.%3.%4"/>
      <w:lvlJc w:val="left"/>
      <w:pPr>
        <w:tabs>
          <w:tab w:val="num" w:pos="0"/>
        </w:tabs>
        <w:ind w:left="864" w:hanging="864"/>
      </w:pPr>
      <w:rPr>
        <w:sz w:val="22"/>
        <w:i w:val="false"/>
        <w:b w:val="false"/>
        <w:color w:val="484D7A"/>
      </w:rPr>
    </w:lvl>
    <w:lvl w:ilvl="4">
      <w:start w:val="1"/>
      <w:pStyle w:val="Titre5"/>
      <w:numFmt w:val="decimal"/>
      <w:lvlText w:val="%1.%2.%3.%4.%5"/>
      <w:lvlJc w:val="left"/>
      <w:pPr>
        <w:tabs>
          <w:tab w:val="num" w:pos="0"/>
        </w:tabs>
        <w:ind w:left="1008" w:hanging="1008"/>
      </w:pPr>
    </w:lvl>
    <w:lvl w:ilvl="5">
      <w:start w:val="1"/>
      <w:pStyle w:val="Titre6"/>
      <w:numFmt w:val="decimal"/>
      <w:lvlText w:val="%1.%2.%3.%4.%5.%6"/>
      <w:lvlJc w:val="left"/>
      <w:pPr>
        <w:tabs>
          <w:tab w:val="num" w:pos="0"/>
        </w:tabs>
        <w:ind w:left="1152" w:hanging="1152"/>
      </w:pPr>
    </w:lvl>
    <w:lvl w:ilvl="6">
      <w:start w:val="1"/>
      <w:pStyle w:val="Titre7"/>
      <w:numFmt w:val="decimal"/>
      <w:lvlText w:val="%1.%2.%3.%4.%5.%6.%7"/>
      <w:lvlJc w:val="left"/>
      <w:pPr>
        <w:tabs>
          <w:tab w:val="num" w:pos="0"/>
        </w:tabs>
        <w:ind w:left="1296" w:hanging="1296"/>
      </w:pPr>
    </w:lvl>
    <w:lvl w:ilvl="7">
      <w:start w:val="1"/>
      <w:pStyle w:val="Titre8"/>
      <w:numFmt w:val="decimal"/>
      <w:lvlText w:val="%1.%2.%3.%4.%5.%6.%7.%8"/>
      <w:lvlJc w:val="left"/>
      <w:pPr>
        <w:tabs>
          <w:tab w:val="num" w:pos="0"/>
        </w:tabs>
        <w:ind w:left="1440" w:hanging="1440"/>
      </w:pPr>
    </w:lvl>
    <w:lvl w:ilvl="8">
      <w:start w:val="1"/>
      <w:pStyle w:val="Titre9"/>
      <w:numFmt w:val="decimal"/>
      <w:lvlText w:val="%1.%2.%3.%4.%5.%6.%7.%8.%9"/>
      <w:lvlJc w:val="left"/>
      <w:pPr>
        <w:tabs>
          <w:tab w:val="num" w:pos="0"/>
        </w:tabs>
        <w:ind w:left="1584" w:hanging="1584"/>
      </w:pPr>
    </w:lvl>
  </w:abstractNum>
  <w:abstractNum w:abstractNumId="2">
    <w:lvl w:ilvl="0">
      <w:start w:val="1"/>
      <w:numFmt w:val="decimal"/>
      <w:lvlText w:val="%1"/>
      <w:lvlJc w:val="left"/>
      <w:pPr>
        <w:tabs>
          <w:tab w:val="num" w:pos="0"/>
        </w:tabs>
        <w:ind w:left="432" w:hanging="432"/>
      </w:pPr>
      <w:rPr>
        <w:i w:val="false"/>
        <w:b/>
        <w:rFonts w:ascii="Marianne" w:hAnsi="Marianne"/>
        <w:color w:val="484D7A"/>
      </w:rPr>
    </w:lvl>
    <w:lvl w:ilvl="1">
      <w:start w:val="1"/>
      <w:numFmt w:val="decimal"/>
      <w:lvlText w:val="%1.%2"/>
      <w:lvlJc w:val="left"/>
      <w:pPr>
        <w:tabs>
          <w:tab w:val="num" w:pos="0"/>
        </w:tabs>
        <w:ind w:left="1284" w:hanging="576"/>
      </w:pPr>
      <w:rPr>
        <w:i w:val="false"/>
        <w:b w:val="false"/>
        <w:rFonts w:ascii="Marianne Medium" w:hAnsi="Marianne Medium"/>
        <w:color w:val="484D7A"/>
      </w:rPr>
    </w:lvl>
    <w:lvl w:ilvl="2">
      <w:start w:val="1"/>
      <w:numFmt w:val="decimal"/>
      <w:lvlText w:val="%1.%2.%3"/>
      <w:lvlJc w:val="left"/>
      <w:pPr>
        <w:tabs>
          <w:tab w:val="num" w:pos="0"/>
        </w:tabs>
        <w:ind w:left="2136" w:hanging="720"/>
      </w:pPr>
      <w:rPr>
        <w:sz w:val="24"/>
        <w:i w:val="false"/>
        <w:b w:val="false"/>
        <w:rFonts w:ascii="Marianne" w:hAnsi="Marianne"/>
        <w:color w:val="484D7A"/>
      </w:rPr>
    </w:lvl>
    <w:lvl w:ilvl="3">
      <w:start w:val="1"/>
      <w:numFmt w:val="decimal"/>
      <w:lvlText w:val="%1.%2.%3.%4"/>
      <w:lvlJc w:val="left"/>
      <w:pPr>
        <w:tabs>
          <w:tab w:val="num" w:pos="0"/>
        </w:tabs>
        <w:ind w:left="2988" w:hanging="864"/>
      </w:pPr>
      <w:rPr>
        <w:sz w:val="22"/>
        <w:i w:val="false"/>
        <w:b w:val="false"/>
        <w:rFonts w:ascii="Marianne Light" w:hAnsi="Marianne Light"/>
        <w:color w:val="484D7A"/>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3">
    <w:lvl w:ilvl="0">
      <w:numFmt w:val="bullet"/>
      <w:lvlText w:val="•"/>
      <w:lvlJc w:val="left"/>
      <w:pPr>
        <w:tabs>
          <w:tab w:val="num" w:pos="0"/>
        </w:tabs>
        <w:ind w:left="720" w:hanging="360"/>
      </w:pPr>
      <w:rPr>
        <w:rFonts w:ascii="Arial" w:hAnsi="Arial" w:cs="Aria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4">
    <w:lvl w:ilvl="0">
      <w:numFmt w:val="bullet"/>
      <w:lvlText w:val="•"/>
      <w:lvlJc w:val="left"/>
      <w:pPr>
        <w:tabs>
          <w:tab w:val="num" w:pos="0"/>
        </w:tabs>
        <w:ind w:left="720" w:hanging="360"/>
      </w:pPr>
      <w:rPr>
        <w:rFonts w:ascii="Arial" w:hAnsi="Arial" w:cs="Aria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5">
    <w:lvl w:ilvl="0">
      <w:numFmt w:val="bullet"/>
      <w:lvlText w:val="•"/>
      <w:lvlJc w:val="left"/>
      <w:pPr>
        <w:tabs>
          <w:tab w:val="num" w:pos="0"/>
        </w:tabs>
        <w:ind w:left="720" w:hanging="360"/>
      </w:pPr>
      <w:rPr>
        <w:rFonts w:ascii="Arial" w:hAnsi="Arial" w:cs="Aria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6">
    <w:lvl w:ilvl="0">
      <w:numFmt w:val="bullet"/>
      <w:lvlText w:val="•"/>
      <w:lvlJc w:val="left"/>
      <w:pPr>
        <w:tabs>
          <w:tab w:val="num" w:pos="0"/>
        </w:tabs>
        <w:ind w:left="720" w:hanging="360"/>
      </w:pPr>
      <w:rPr>
        <w:rFonts w:ascii="Arial" w:hAnsi="Arial" w:cs="Aria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7">
    <w:lvl w:ilvl="0">
      <w:numFmt w:val="bullet"/>
      <w:lvlText w:val="•"/>
      <w:lvlJc w:val="left"/>
      <w:pPr>
        <w:tabs>
          <w:tab w:val="num" w:pos="0"/>
        </w:tabs>
        <w:ind w:left="720" w:hanging="360"/>
      </w:pPr>
      <w:rPr>
        <w:rFonts w:ascii="Arial" w:hAnsi="Arial" w:cs="Aria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8">
    <w:lvl w:ilvl="0">
      <w:numFmt w:val="bullet"/>
      <w:lvlText w:val="•"/>
      <w:lvlJc w:val="left"/>
      <w:pPr>
        <w:tabs>
          <w:tab w:val="num" w:pos="0"/>
        </w:tabs>
        <w:ind w:left="720" w:hanging="360"/>
      </w:pPr>
      <w:rPr>
        <w:rFonts w:ascii="Arial" w:hAnsi="Arial" w:cs="Aria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1068" w:hanging="360"/>
      </w:pPr>
      <w:rPr>
        <w:rFonts w:ascii="Symbol" w:hAnsi="Symbol" w:cs="Symbol" w:hint="default"/>
      </w:rPr>
    </w:lvl>
    <w:lvl w:ilvl="1">
      <w:start w:val="0"/>
      <w:numFmt w:val="bullet"/>
      <w:lvlText w:val="o"/>
      <w:lvlJc w:val="left"/>
      <w:pPr>
        <w:tabs>
          <w:tab w:val="num" w:pos="0"/>
        </w:tabs>
        <w:ind w:left="1788" w:hanging="360"/>
      </w:pPr>
      <w:rPr>
        <w:rFonts w:ascii="Courier New" w:hAnsi="Courier New" w:cs="Courier New" w:hint="default"/>
      </w:rPr>
    </w:lvl>
    <w:lvl w:ilvl="2">
      <w:start w:val="0"/>
      <w:numFmt w:val="bullet"/>
      <w:lvlText w:val=""/>
      <w:lvlJc w:val="left"/>
      <w:pPr>
        <w:tabs>
          <w:tab w:val="num" w:pos="0"/>
        </w:tabs>
        <w:ind w:left="2508" w:hanging="360"/>
      </w:pPr>
      <w:rPr>
        <w:rFonts w:ascii="Wingdings" w:hAnsi="Wingdings" w:cs="Wingdings" w:hint="default"/>
      </w:rPr>
    </w:lvl>
    <w:lvl w:ilvl="3">
      <w:start w:val="0"/>
      <w:numFmt w:val="bullet"/>
      <w:lvlText w:val=""/>
      <w:lvlJc w:val="left"/>
      <w:pPr>
        <w:tabs>
          <w:tab w:val="num" w:pos="0"/>
        </w:tabs>
        <w:ind w:left="3228" w:hanging="360"/>
      </w:pPr>
      <w:rPr>
        <w:rFonts w:ascii="Symbol" w:hAnsi="Symbol" w:cs="Symbol" w:hint="default"/>
      </w:rPr>
    </w:lvl>
    <w:lvl w:ilvl="4">
      <w:start w:val="0"/>
      <w:numFmt w:val="bullet"/>
      <w:lvlText w:val="o"/>
      <w:lvlJc w:val="left"/>
      <w:pPr>
        <w:tabs>
          <w:tab w:val="num" w:pos="0"/>
        </w:tabs>
        <w:ind w:left="3948" w:hanging="360"/>
      </w:pPr>
      <w:rPr>
        <w:rFonts w:ascii="Courier New" w:hAnsi="Courier New" w:cs="Courier New" w:hint="default"/>
      </w:rPr>
    </w:lvl>
    <w:lvl w:ilvl="5">
      <w:start w:val="0"/>
      <w:numFmt w:val="bullet"/>
      <w:lvlText w:val=""/>
      <w:lvlJc w:val="left"/>
      <w:pPr>
        <w:tabs>
          <w:tab w:val="num" w:pos="0"/>
        </w:tabs>
        <w:ind w:left="4668" w:hanging="360"/>
      </w:pPr>
      <w:rPr>
        <w:rFonts w:ascii="Wingdings" w:hAnsi="Wingdings" w:cs="Wingdings" w:hint="default"/>
      </w:rPr>
    </w:lvl>
    <w:lvl w:ilvl="6">
      <w:start w:val="0"/>
      <w:numFmt w:val="bullet"/>
      <w:lvlText w:val=""/>
      <w:lvlJc w:val="left"/>
      <w:pPr>
        <w:tabs>
          <w:tab w:val="num" w:pos="0"/>
        </w:tabs>
        <w:ind w:left="5388" w:hanging="360"/>
      </w:pPr>
      <w:rPr>
        <w:rFonts w:ascii="Symbol" w:hAnsi="Symbol" w:cs="Symbol" w:hint="default"/>
      </w:rPr>
    </w:lvl>
    <w:lvl w:ilvl="7">
      <w:start w:val="0"/>
      <w:numFmt w:val="bullet"/>
      <w:lvlText w:val="o"/>
      <w:lvlJc w:val="left"/>
      <w:pPr>
        <w:tabs>
          <w:tab w:val="num" w:pos="0"/>
        </w:tabs>
        <w:ind w:left="6108" w:hanging="360"/>
      </w:pPr>
      <w:rPr>
        <w:rFonts w:ascii="Courier New" w:hAnsi="Courier New" w:cs="Courier New" w:hint="default"/>
      </w:rPr>
    </w:lvl>
    <w:lvl w:ilvl="8">
      <w:start w:val="0"/>
      <w:numFmt w:val="bullet"/>
      <w:lvlText w:val=""/>
      <w:lvlJc w:val="left"/>
      <w:pPr>
        <w:tabs>
          <w:tab w:val="num" w:pos="0"/>
        </w:tabs>
        <w:ind w:left="6828" w:hanging="360"/>
      </w:pPr>
      <w:rPr>
        <w:rFonts w:ascii="Wingdings" w:hAnsi="Wingdings" w:cs="Wingdings" w:hint="default"/>
      </w:rPr>
    </w:lvl>
  </w:abstractNum>
  <w:abstractNum w:abstractNumId="10">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1">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2">
    <w:lvl w:ilvl="0">
      <w:numFmt w:val="bullet"/>
      <w:lvlText w:val=""/>
      <w:lvlJc w:val="left"/>
      <w:pPr>
        <w:tabs>
          <w:tab w:val="num" w:pos="0"/>
        </w:tabs>
        <w:ind w:left="720" w:hanging="360"/>
      </w:pPr>
      <w:rPr>
        <w:rFonts w:ascii="Symbol" w:hAnsi="Symbol" w:cs="Symbol" w:hint="default"/>
      </w:rPr>
    </w:lvl>
    <w:lvl w:ilvl="1">
      <w:start w:val="0"/>
      <w:numFmt w:val="bullet"/>
      <w:lvlText w:val="◦"/>
      <w:lvlJc w:val="left"/>
      <w:pPr>
        <w:tabs>
          <w:tab w:val="num" w:pos="0"/>
        </w:tabs>
        <w:ind w:left="1080" w:hanging="360"/>
      </w:pPr>
      <w:rPr>
        <w:rFonts w:ascii="OpenSymbol" w:hAnsi="OpenSymbol" w:cs="OpenSymbol" w:hint="default"/>
      </w:rPr>
    </w:lvl>
    <w:lvl w:ilvl="2">
      <w:start w:val="0"/>
      <w:numFmt w:val="bullet"/>
      <w:lvlText w:val="▪"/>
      <w:lvlJc w:val="left"/>
      <w:pPr>
        <w:tabs>
          <w:tab w:val="num" w:pos="0"/>
        </w:tabs>
        <w:ind w:left="1440" w:hanging="360"/>
      </w:pPr>
      <w:rPr>
        <w:rFonts w:ascii="OpenSymbol" w:hAnsi="OpenSymbol" w:cs="OpenSymbol" w:hint="default"/>
      </w:rPr>
    </w:lvl>
    <w:lvl w:ilvl="3">
      <w:start w:val="0"/>
      <w:numFmt w:val="bullet"/>
      <w:lvlText w:val=""/>
      <w:lvlJc w:val="left"/>
      <w:pPr>
        <w:tabs>
          <w:tab w:val="num" w:pos="0"/>
        </w:tabs>
        <w:ind w:left="1800" w:hanging="360"/>
      </w:pPr>
      <w:rPr>
        <w:rFonts w:ascii="Symbol" w:hAnsi="Symbol" w:cs="Symbol" w:hint="default"/>
      </w:rPr>
    </w:lvl>
    <w:lvl w:ilvl="4">
      <w:start w:val="0"/>
      <w:numFmt w:val="bullet"/>
      <w:lvlText w:val="◦"/>
      <w:lvlJc w:val="left"/>
      <w:pPr>
        <w:tabs>
          <w:tab w:val="num" w:pos="0"/>
        </w:tabs>
        <w:ind w:left="2160" w:hanging="360"/>
      </w:pPr>
      <w:rPr>
        <w:rFonts w:ascii="OpenSymbol" w:hAnsi="OpenSymbol" w:cs="OpenSymbol" w:hint="default"/>
      </w:rPr>
    </w:lvl>
    <w:lvl w:ilvl="5">
      <w:start w:val="0"/>
      <w:numFmt w:val="bullet"/>
      <w:lvlText w:val="▪"/>
      <w:lvlJc w:val="left"/>
      <w:pPr>
        <w:tabs>
          <w:tab w:val="num" w:pos="0"/>
        </w:tabs>
        <w:ind w:left="2520" w:hanging="360"/>
      </w:pPr>
      <w:rPr>
        <w:rFonts w:ascii="OpenSymbol" w:hAnsi="OpenSymbol" w:cs="OpenSymbol" w:hint="default"/>
      </w:rPr>
    </w:lvl>
    <w:lvl w:ilvl="6">
      <w:start w:val="0"/>
      <w:numFmt w:val="bullet"/>
      <w:lvlText w:val=""/>
      <w:lvlJc w:val="left"/>
      <w:pPr>
        <w:tabs>
          <w:tab w:val="num" w:pos="0"/>
        </w:tabs>
        <w:ind w:left="2880" w:hanging="360"/>
      </w:pPr>
      <w:rPr>
        <w:rFonts w:ascii="Symbol" w:hAnsi="Symbol" w:cs="Symbol" w:hint="default"/>
      </w:rPr>
    </w:lvl>
    <w:lvl w:ilvl="7">
      <w:start w:val="0"/>
      <w:numFmt w:val="bullet"/>
      <w:lvlText w:val="◦"/>
      <w:lvlJc w:val="left"/>
      <w:pPr>
        <w:tabs>
          <w:tab w:val="num" w:pos="0"/>
        </w:tabs>
        <w:ind w:left="3240" w:hanging="360"/>
      </w:pPr>
      <w:rPr>
        <w:rFonts w:ascii="OpenSymbol" w:hAnsi="OpenSymbol" w:cs="OpenSymbol" w:hint="default"/>
      </w:rPr>
    </w:lvl>
    <w:lvl w:ilvl="8">
      <w:start w:val="0"/>
      <w:numFmt w:val="bullet"/>
      <w:lvlText w:val="▪"/>
      <w:lvlJc w:val="left"/>
      <w:pPr>
        <w:tabs>
          <w:tab w:val="num" w:pos="0"/>
        </w:tabs>
        <w:ind w:left="3600" w:hanging="360"/>
      </w:pPr>
      <w:rPr>
        <w:rFonts w:ascii="OpenSymbol" w:hAnsi="OpenSymbol" w:cs="OpenSymbol" w:hint="default"/>
      </w:rPr>
    </w:lvl>
  </w:abstractNum>
  <w:abstractNum w:abstractNumId="13">
    <w:lvl w:ilvl="0">
      <w:numFmt w:val="bullet"/>
      <w:lvlText w:val=""/>
      <w:lvlJc w:val="left"/>
      <w:pPr>
        <w:tabs>
          <w:tab w:val="num" w:pos="0"/>
        </w:tabs>
        <w:ind w:left="720" w:hanging="360"/>
      </w:pPr>
      <w:rPr>
        <w:rFonts w:ascii="Symbol" w:hAnsi="Symbol" w:cs="Symbol" w:hint="default"/>
      </w:rPr>
    </w:lvl>
    <w:lvl w:ilvl="1">
      <w:start w:val="0"/>
      <w:numFmt w:val="bullet"/>
      <w:lvlText w:val="o"/>
      <w:lvlJc w:val="left"/>
      <w:pPr>
        <w:tabs>
          <w:tab w:val="num" w:pos="0"/>
        </w:tabs>
        <w:ind w:left="1440" w:hanging="360"/>
      </w:pPr>
      <w:rPr>
        <w:rFonts w:ascii="Courier New" w:hAnsi="Courier New" w:cs="Courier New" w:hint="default"/>
      </w:rPr>
    </w:lvl>
    <w:lvl w:ilvl="2">
      <w:start w:val="0"/>
      <w:numFmt w:val="bullet"/>
      <w:lvlText w:val=""/>
      <w:lvlJc w:val="left"/>
      <w:pPr>
        <w:tabs>
          <w:tab w:val="num" w:pos="0"/>
        </w:tabs>
        <w:ind w:left="2160" w:hanging="360"/>
      </w:pPr>
      <w:rPr>
        <w:rFonts w:ascii="Wingdings" w:hAnsi="Wingdings" w:cs="Wingdings" w:hint="default"/>
      </w:rPr>
    </w:lvl>
    <w:lvl w:ilvl="3">
      <w:start w:val="0"/>
      <w:numFmt w:val="bullet"/>
      <w:lvlText w:val=""/>
      <w:lvlJc w:val="left"/>
      <w:pPr>
        <w:tabs>
          <w:tab w:val="num" w:pos="0"/>
        </w:tabs>
        <w:ind w:left="2880" w:hanging="360"/>
      </w:pPr>
      <w:rPr>
        <w:rFonts w:ascii="Symbol" w:hAnsi="Symbol" w:cs="Symbol" w:hint="default"/>
      </w:rPr>
    </w:lvl>
    <w:lvl w:ilvl="4">
      <w:start w:val="0"/>
      <w:numFmt w:val="bullet"/>
      <w:lvlText w:val="o"/>
      <w:lvlJc w:val="left"/>
      <w:pPr>
        <w:tabs>
          <w:tab w:val="num" w:pos="0"/>
        </w:tabs>
        <w:ind w:left="3600" w:hanging="360"/>
      </w:pPr>
      <w:rPr>
        <w:rFonts w:ascii="Courier New" w:hAnsi="Courier New" w:cs="Courier New" w:hint="default"/>
      </w:rPr>
    </w:lvl>
    <w:lvl w:ilvl="5">
      <w:start w:val="0"/>
      <w:numFmt w:val="bullet"/>
      <w:lvlText w:val=""/>
      <w:lvlJc w:val="left"/>
      <w:pPr>
        <w:tabs>
          <w:tab w:val="num" w:pos="0"/>
        </w:tabs>
        <w:ind w:left="4320" w:hanging="360"/>
      </w:pPr>
      <w:rPr>
        <w:rFonts w:ascii="Wingdings" w:hAnsi="Wingdings" w:cs="Wingdings" w:hint="default"/>
      </w:rPr>
    </w:lvl>
    <w:lvl w:ilvl="6">
      <w:start w:val="0"/>
      <w:numFmt w:val="bullet"/>
      <w:lvlText w:val=""/>
      <w:lvlJc w:val="left"/>
      <w:pPr>
        <w:tabs>
          <w:tab w:val="num" w:pos="0"/>
        </w:tabs>
        <w:ind w:left="5040" w:hanging="360"/>
      </w:pPr>
      <w:rPr>
        <w:rFonts w:ascii="Symbol" w:hAnsi="Symbol" w:cs="Symbol" w:hint="default"/>
      </w:rPr>
    </w:lvl>
    <w:lvl w:ilvl="7">
      <w:start w:val="0"/>
      <w:numFmt w:val="bullet"/>
      <w:lvlText w:val="o"/>
      <w:lvlJc w:val="left"/>
      <w:pPr>
        <w:tabs>
          <w:tab w:val="num" w:pos="0"/>
        </w:tabs>
        <w:ind w:left="5760" w:hanging="360"/>
      </w:pPr>
      <w:rPr>
        <w:rFonts w:ascii="Courier New" w:hAnsi="Courier New" w:cs="Courier New" w:hint="default"/>
      </w:rPr>
    </w:lvl>
    <w:lvl w:ilvl="8">
      <w:start w:val="0"/>
      <w:numFmt w:val="bullet"/>
      <w:lvlText w:val=""/>
      <w:lvlJc w:val="left"/>
      <w:pPr>
        <w:tabs>
          <w:tab w:val="num" w:pos="0"/>
        </w:tabs>
        <w:ind w:left="6480" w:hanging="360"/>
      </w:pPr>
      <w:rPr>
        <w:rFonts w:ascii="Wingdings" w:hAnsi="Wingdings" w:cs="Wingdings" w:hint="default"/>
      </w:rPr>
    </w:lvl>
  </w:abstractNum>
  <w:abstractNum w:abstractNumId="14">
    <w:lvl w:ilvl="0">
      <w:start w:val="1"/>
      <w:numFmt w:val="decimal"/>
      <w:lvlText w:val="%1"/>
      <w:lvlJc w:val="left"/>
      <w:pPr>
        <w:tabs>
          <w:tab w:val="num" w:pos="0"/>
        </w:tabs>
        <w:ind w:left="432" w:hanging="432"/>
      </w:pPr>
      <w:rPr>
        <w:i w:val="false"/>
        <w:b/>
        <w:rFonts w:ascii="Marianne" w:hAnsi="Marianne"/>
        <w:color w:val="484D7A"/>
      </w:rPr>
    </w:lvl>
    <w:lvl w:ilvl="1">
      <w:start w:val="1"/>
      <w:numFmt w:val="decimal"/>
      <w:lvlText w:val="%1.%2"/>
      <w:lvlJc w:val="left"/>
      <w:pPr>
        <w:tabs>
          <w:tab w:val="num" w:pos="0"/>
        </w:tabs>
        <w:ind w:left="1284" w:hanging="576"/>
      </w:pPr>
      <w:rPr>
        <w:i w:val="false"/>
        <w:b w:val="false"/>
        <w:rFonts w:ascii="Marianne Medium" w:hAnsi="Marianne Medium"/>
        <w:color w:val="484D7A"/>
      </w:rPr>
    </w:lvl>
    <w:lvl w:ilvl="2">
      <w:start w:val="1"/>
      <w:numFmt w:val="decimal"/>
      <w:lvlText w:val="%1.%2.%3"/>
      <w:lvlJc w:val="left"/>
      <w:pPr>
        <w:tabs>
          <w:tab w:val="num" w:pos="0"/>
        </w:tabs>
        <w:ind w:left="2136" w:hanging="720"/>
      </w:pPr>
      <w:rPr>
        <w:sz w:val="24"/>
        <w:i w:val="false"/>
        <w:b w:val="false"/>
        <w:rFonts w:ascii="Marianne" w:hAnsi="Marianne"/>
        <w:color w:val="484D7A"/>
      </w:rPr>
    </w:lvl>
    <w:lvl w:ilvl="3">
      <w:start w:val="1"/>
      <w:numFmt w:val="decimal"/>
      <w:lvlText w:val="%1.%2.%3.%4"/>
      <w:lvlJc w:val="left"/>
      <w:pPr>
        <w:tabs>
          <w:tab w:val="num" w:pos="0"/>
        </w:tabs>
        <w:ind w:left="2988" w:hanging="864"/>
      </w:pPr>
      <w:rPr>
        <w:sz w:val="22"/>
        <w:i w:val="false"/>
        <w:b w:val="false"/>
        <w:rFonts w:ascii="Marianne Light" w:hAnsi="Marianne Light"/>
        <w:color w:val="484D7A"/>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2"/>
    <w:lvlOverride w:ilvl="2">
      <w:startOverride w:val="1"/>
    </w:lvlOverride>
  </w:num>
  <w:num w:numId="16">
    <w:abstractNumId w:val="2"/>
  </w:num>
  <w:num w:numId="17">
    <w:abstractNumId w:val="2"/>
  </w:num>
  <w:num w:numId="18">
    <w:abstractNumId w:val="2"/>
  </w:num>
</w:numbering>
</file>

<file path=word/settings.xml><?xml version="1.0" encoding="utf-8"?>
<w:settings xmlns:w="http://schemas.openxmlformats.org/wordprocessingml/2006/main">
  <w:zoom w:percent="129"/>
  <w:mirrorMargins/>
  <w:defaultTabStop w:val="708"/>
  <w:autoHyphenation w:val="true"/>
  <w:evenAndOddHeader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hyphenationZone w:val="425"/>
  <w:themeFontLang w:val="fr-F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4"/>
        <w:szCs w:val="24"/>
        <w:lang w:val="fr-FR" w:eastAsia="en-US" w:bidi="ar-SA"/>
      </w:rPr>
    </w:rPrDefault>
    <w:pPrDefault>
      <w:pPr>
        <w:suppressAutoHyphens w:val="true"/>
      </w:pPr>
    </w:pPrDefault>
  </w:docDefaults>
  <w:latentStyles w:defLockedState="0" w:defUIPriority="99" w:defSemiHidden="0" w:defUnhideWhenUsed="0" w:defQFormat="0" w:count="382">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styleId="Normal" w:default="1">
    <w:name w:val="Normal"/>
    <w:qFormat/>
    <w:rsid w:val="003624b7"/>
    <w:pPr>
      <w:widowControl/>
      <w:bidi w:val="0"/>
      <w:spacing w:before="0" w:after="0"/>
      <w:jc w:val="left"/>
    </w:pPr>
    <w:rPr>
      <w:rFonts w:ascii="Times New Roman" w:hAnsi="Times New Roman" w:eastAsia="Times New Roman" w:cs="Times New Roman"/>
      <w:color w:val="auto"/>
      <w:kern w:val="0"/>
      <w:sz w:val="24"/>
      <w:szCs w:val="24"/>
      <w:lang w:eastAsia="fr-FR" w:val="fr-FR" w:bidi="ar-SA"/>
    </w:rPr>
  </w:style>
  <w:style w:type="paragraph" w:styleId="Titre1">
    <w:name w:val="Heading 1"/>
    <w:basedOn w:val="Normal"/>
    <w:next w:val="Normal"/>
    <w:link w:val="Titre1Car"/>
    <w:uiPriority w:val="9"/>
    <w:qFormat/>
    <w:rsid w:val="00f438c0"/>
    <w:pPr>
      <w:keepNext w:val="true"/>
      <w:keepLines/>
      <w:numPr>
        <w:ilvl w:val="0"/>
        <w:numId w:val="1"/>
      </w:numPr>
      <w:spacing w:before="240" w:after="0"/>
      <w:outlineLvl w:val="0"/>
    </w:pPr>
    <w:rPr>
      <w:rFonts w:ascii="Calibri Light" w:hAnsi="Calibri Light" w:eastAsia="" w:cs="" w:asciiTheme="majorHAnsi" w:cstheme="majorBidi" w:eastAsiaTheme="majorEastAsia" w:hAnsiTheme="majorHAnsi"/>
      <w:color w:val="2F5496" w:themeColor="accent1" w:themeShade="bf"/>
      <w:sz w:val="32"/>
      <w:szCs w:val="32"/>
    </w:rPr>
  </w:style>
  <w:style w:type="paragraph" w:styleId="Titre2">
    <w:name w:val="Heading 2"/>
    <w:basedOn w:val="Normal"/>
    <w:next w:val="Normal"/>
    <w:link w:val="Titre2Car"/>
    <w:uiPriority w:val="9"/>
    <w:unhideWhenUsed/>
    <w:qFormat/>
    <w:rsid w:val="00f438c0"/>
    <w:pPr>
      <w:keepNext w:val="true"/>
      <w:keepLines/>
      <w:numPr>
        <w:ilvl w:val="1"/>
        <w:numId w:val="1"/>
      </w:numPr>
      <w:spacing w:before="40" w:after="0"/>
      <w:outlineLvl w:val="1"/>
    </w:pPr>
    <w:rPr>
      <w:rFonts w:ascii="Calibri Light" w:hAnsi="Calibri Light" w:eastAsia="" w:cs="" w:asciiTheme="majorHAnsi" w:cstheme="majorBidi" w:eastAsiaTheme="majorEastAsia" w:hAnsiTheme="majorHAnsi"/>
      <w:color w:val="2F5496" w:themeColor="accent1" w:themeShade="bf"/>
      <w:sz w:val="26"/>
      <w:szCs w:val="26"/>
    </w:rPr>
  </w:style>
  <w:style w:type="paragraph" w:styleId="Titre3">
    <w:name w:val="Heading 3"/>
    <w:basedOn w:val="Normal"/>
    <w:next w:val="Normal"/>
    <w:link w:val="Titre3Car"/>
    <w:uiPriority w:val="9"/>
    <w:unhideWhenUsed/>
    <w:qFormat/>
    <w:rsid w:val="00f438c0"/>
    <w:pPr>
      <w:keepNext w:val="true"/>
      <w:keepLines/>
      <w:numPr>
        <w:ilvl w:val="2"/>
        <w:numId w:val="1"/>
      </w:numPr>
      <w:spacing w:before="40" w:after="0"/>
      <w:outlineLvl w:val="2"/>
    </w:pPr>
    <w:rPr>
      <w:rFonts w:ascii="Calibri Light" w:hAnsi="Calibri Light" w:eastAsia="" w:cs="" w:asciiTheme="majorHAnsi" w:cstheme="majorBidi" w:eastAsiaTheme="majorEastAsia" w:hAnsiTheme="majorHAnsi"/>
      <w:color w:val="1F3763" w:themeColor="accent1" w:themeShade="7f"/>
    </w:rPr>
  </w:style>
  <w:style w:type="paragraph" w:styleId="Titre4">
    <w:name w:val="Heading 4"/>
    <w:basedOn w:val="Normal"/>
    <w:next w:val="Normal"/>
    <w:link w:val="Titre4Car"/>
    <w:uiPriority w:val="9"/>
    <w:unhideWhenUsed/>
    <w:qFormat/>
    <w:rsid w:val="00f438c0"/>
    <w:pPr>
      <w:keepNext w:val="true"/>
      <w:keepLines/>
      <w:numPr>
        <w:ilvl w:val="3"/>
        <w:numId w:val="1"/>
      </w:numPr>
      <w:spacing w:before="40" w:after="0"/>
      <w:outlineLvl w:val="3"/>
    </w:pPr>
    <w:rPr>
      <w:rFonts w:ascii="Calibri Light" w:hAnsi="Calibri Light" w:eastAsia="" w:cs="" w:asciiTheme="majorHAnsi" w:cstheme="majorBidi" w:eastAsiaTheme="majorEastAsia" w:hAnsiTheme="majorHAnsi"/>
      <w:i/>
      <w:iCs/>
      <w:color w:val="2F5496" w:themeColor="accent1" w:themeShade="bf"/>
    </w:rPr>
  </w:style>
  <w:style w:type="paragraph" w:styleId="Titre5">
    <w:name w:val="Heading 5"/>
    <w:basedOn w:val="Normal"/>
    <w:next w:val="Normal"/>
    <w:link w:val="Titre5Car"/>
    <w:uiPriority w:val="9"/>
    <w:unhideWhenUsed/>
    <w:qFormat/>
    <w:rsid w:val="00f438c0"/>
    <w:pPr>
      <w:keepNext w:val="true"/>
      <w:keepLines/>
      <w:numPr>
        <w:ilvl w:val="4"/>
        <w:numId w:val="1"/>
      </w:numPr>
      <w:spacing w:before="40" w:after="0"/>
      <w:outlineLvl w:val="4"/>
    </w:pPr>
    <w:rPr>
      <w:rFonts w:ascii="Calibri Light" w:hAnsi="Calibri Light" w:eastAsia="" w:cs="" w:asciiTheme="majorHAnsi" w:cstheme="majorBidi" w:eastAsiaTheme="majorEastAsia" w:hAnsiTheme="majorHAnsi"/>
      <w:color w:val="2F5496" w:themeColor="accent1" w:themeShade="bf"/>
    </w:rPr>
  </w:style>
  <w:style w:type="paragraph" w:styleId="Titre6">
    <w:name w:val="Heading 6"/>
    <w:basedOn w:val="Normal"/>
    <w:next w:val="Normal"/>
    <w:link w:val="Titre6Car"/>
    <w:uiPriority w:val="9"/>
    <w:unhideWhenUsed/>
    <w:qFormat/>
    <w:rsid w:val="00f438c0"/>
    <w:pPr>
      <w:keepNext w:val="true"/>
      <w:keepLines/>
      <w:numPr>
        <w:ilvl w:val="5"/>
        <w:numId w:val="1"/>
      </w:numPr>
      <w:spacing w:before="40" w:after="0"/>
      <w:outlineLvl w:val="5"/>
    </w:pPr>
    <w:rPr>
      <w:rFonts w:ascii="Calibri Light" w:hAnsi="Calibri Light" w:eastAsia="" w:cs="" w:asciiTheme="majorHAnsi" w:cstheme="majorBidi" w:eastAsiaTheme="majorEastAsia" w:hAnsiTheme="majorHAnsi"/>
      <w:color w:val="1F3763" w:themeColor="accent1" w:themeShade="7f"/>
    </w:rPr>
  </w:style>
  <w:style w:type="paragraph" w:styleId="Titre7">
    <w:name w:val="Heading 7"/>
    <w:basedOn w:val="Normal"/>
    <w:next w:val="Normal"/>
    <w:link w:val="Titre7Car"/>
    <w:uiPriority w:val="9"/>
    <w:unhideWhenUsed/>
    <w:qFormat/>
    <w:rsid w:val="00f438c0"/>
    <w:pPr>
      <w:keepNext w:val="true"/>
      <w:keepLines/>
      <w:numPr>
        <w:ilvl w:val="6"/>
        <w:numId w:val="1"/>
      </w:numPr>
      <w:spacing w:before="40" w:after="0"/>
      <w:outlineLvl w:val="6"/>
    </w:pPr>
    <w:rPr>
      <w:rFonts w:ascii="Calibri Light" w:hAnsi="Calibri Light" w:eastAsia="" w:cs="" w:asciiTheme="majorHAnsi" w:cstheme="majorBidi" w:eastAsiaTheme="majorEastAsia" w:hAnsiTheme="majorHAnsi"/>
      <w:i/>
      <w:iCs/>
      <w:color w:val="1F3763" w:themeColor="accent1" w:themeShade="7f"/>
    </w:rPr>
  </w:style>
  <w:style w:type="paragraph" w:styleId="Titre8">
    <w:name w:val="Heading 8"/>
    <w:basedOn w:val="Normal"/>
    <w:next w:val="Normal"/>
    <w:link w:val="Titre8Car"/>
    <w:uiPriority w:val="9"/>
    <w:unhideWhenUsed/>
    <w:qFormat/>
    <w:rsid w:val="00f438c0"/>
    <w:pPr>
      <w:keepNext w:val="true"/>
      <w:keepLines/>
      <w:numPr>
        <w:ilvl w:val="7"/>
        <w:numId w:val="1"/>
      </w:numPr>
      <w:spacing w:before="40" w:after="0"/>
      <w:outlineLvl w:val="7"/>
    </w:pPr>
    <w:rPr>
      <w:rFonts w:ascii="Calibri Light" w:hAnsi="Calibri Light" w:eastAsia="" w:cs="" w:asciiTheme="majorHAnsi" w:cstheme="majorBidi" w:eastAsiaTheme="majorEastAsia" w:hAnsiTheme="majorHAnsi"/>
      <w:color w:val="272727" w:themeColor="text1" w:themeTint="d8"/>
      <w:sz w:val="21"/>
      <w:szCs w:val="21"/>
    </w:rPr>
  </w:style>
  <w:style w:type="paragraph" w:styleId="Titre9">
    <w:name w:val="Heading 9"/>
    <w:basedOn w:val="Normal"/>
    <w:next w:val="Normal"/>
    <w:link w:val="Titre9Car"/>
    <w:uiPriority w:val="9"/>
    <w:unhideWhenUsed/>
    <w:qFormat/>
    <w:rsid w:val="00f438c0"/>
    <w:pPr>
      <w:keepNext w:val="true"/>
      <w:keepLines/>
      <w:numPr>
        <w:ilvl w:val="8"/>
        <w:numId w:val="1"/>
      </w:numPr>
      <w:spacing w:before="40" w:after="0"/>
      <w:outlineLvl w:val="8"/>
    </w:pPr>
    <w:rPr>
      <w:rFonts w:ascii="Calibri Light" w:hAnsi="Calibri Light" w:eastAsia="" w:cs="" w:asciiTheme="majorHAnsi" w:cstheme="majorBidi" w:eastAsiaTheme="majorEastAsia" w:hAnsiTheme="majorHAnsi"/>
      <w:i/>
      <w:iCs/>
      <w:color w:val="272727" w:themeColor="text1" w:themeTint="d8"/>
      <w:sz w:val="21"/>
      <w:szCs w:val="21"/>
    </w:rPr>
  </w:style>
  <w:style w:type="character" w:styleId="DefaultParagraphFont" w:default="1">
    <w:name w:val="Default Paragraph Font"/>
    <w:uiPriority w:val="1"/>
    <w:semiHidden/>
    <w:unhideWhenUsed/>
    <w:qFormat/>
    <w:rPr/>
  </w:style>
  <w:style w:type="character" w:styleId="EntteCar" w:customStyle="1">
    <w:name w:val="En-tête Car"/>
    <w:basedOn w:val="DefaultParagraphFont"/>
    <w:link w:val="En-tte"/>
    <w:uiPriority w:val="99"/>
    <w:qFormat/>
    <w:rsid w:val="00643fdf"/>
    <w:rPr/>
  </w:style>
  <w:style w:type="character" w:styleId="PieddepageCar" w:customStyle="1">
    <w:name w:val="Pied de page Car"/>
    <w:basedOn w:val="DefaultParagraphFont"/>
    <w:link w:val="Pieddepage"/>
    <w:uiPriority w:val="99"/>
    <w:qFormat/>
    <w:rsid w:val="00643fdf"/>
    <w:rPr/>
  </w:style>
  <w:style w:type="character" w:styleId="LienInternet">
    <w:name w:val="Lien Internet"/>
    <w:basedOn w:val="DefaultParagraphFont"/>
    <w:uiPriority w:val="99"/>
    <w:unhideWhenUsed/>
    <w:rsid w:val="00643fdf"/>
    <w:rPr>
      <w:color w:val="0563C1" w:themeColor="hyperlink"/>
      <w:u w:val="single"/>
    </w:rPr>
  </w:style>
  <w:style w:type="character" w:styleId="UnresolvedMention" w:customStyle="1">
    <w:name w:val="Unresolved Mention"/>
    <w:basedOn w:val="DefaultParagraphFont"/>
    <w:uiPriority w:val="99"/>
    <w:semiHidden/>
    <w:unhideWhenUsed/>
    <w:qFormat/>
    <w:rsid w:val="00643fdf"/>
    <w:rPr>
      <w:color w:val="605E5C"/>
      <w:shd w:fill="E1DFDD" w:val="clear"/>
    </w:rPr>
  </w:style>
  <w:style w:type="character" w:styleId="Annotationreference">
    <w:name w:val="annotation reference"/>
    <w:basedOn w:val="DefaultParagraphFont"/>
    <w:unhideWhenUsed/>
    <w:qFormat/>
    <w:rsid w:val="00c602db"/>
    <w:rPr>
      <w:sz w:val="16"/>
      <w:szCs w:val="16"/>
    </w:rPr>
  </w:style>
  <w:style w:type="character" w:styleId="CommentaireCar" w:customStyle="1">
    <w:name w:val="Commentaire Car"/>
    <w:basedOn w:val="DefaultParagraphFont"/>
    <w:link w:val="Commentaire"/>
    <w:uiPriority w:val="99"/>
    <w:semiHidden/>
    <w:qFormat/>
    <w:rsid w:val="00c602db"/>
    <w:rPr>
      <w:sz w:val="20"/>
      <w:szCs w:val="20"/>
    </w:rPr>
  </w:style>
  <w:style w:type="character" w:styleId="ObjetducommentaireCar" w:customStyle="1">
    <w:name w:val="Objet du commentaire Car"/>
    <w:basedOn w:val="CommentaireCar"/>
    <w:link w:val="Objetducommentaire"/>
    <w:uiPriority w:val="99"/>
    <w:semiHidden/>
    <w:qFormat/>
    <w:rsid w:val="00c602db"/>
    <w:rPr>
      <w:b/>
      <w:bCs/>
      <w:sz w:val="20"/>
      <w:szCs w:val="20"/>
    </w:rPr>
  </w:style>
  <w:style w:type="character" w:styleId="TextedebullesCar" w:customStyle="1">
    <w:name w:val="Texte de bulles Car"/>
    <w:basedOn w:val="DefaultParagraphFont"/>
    <w:link w:val="Textedebulles"/>
    <w:uiPriority w:val="99"/>
    <w:semiHidden/>
    <w:qFormat/>
    <w:rsid w:val="00c602db"/>
    <w:rPr>
      <w:rFonts w:ascii="Times New Roman" w:hAnsi="Times New Roman" w:cs="Times New Roman"/>
      <w:sz w:val="18"/>
      <w:szCs w:val="18"/>
    </w:rPr>
  </w:style>
  <w:style w:type="character" w:styleId="LienInternetvisit">
    <w:name w:val="Lien Internet visité"/>
    <w:basedOn w:val="DefaultParagraphFont"/>
    <w:uiPriority w:val="99"/>
    <w:semiHidden/>
    <w:unhideWhenUsed/>
    <w:rsid w:val="003f4ad9"/>
    <w:rPr>
      <w:color w:val="954F72" w:themeColor="followedHyperlink"/>
      <w:u w:val="single"/>
    </w:rPr>
  </w:style>
  <w:style w:type="character" w:styleId="Pagenumber">
    <w:name w:val="page number"/>
    <w:basedOn w:val="DefaultParagraphFont"/>
    <w:uiPriority w:val="99"/>
    <w:semiHidden/>
    <w:unhideWhenUsed/>
    <w:qFormat/>
    <w:rsid w:val="003d190f"/>
    <w:rPr/>
  </w:style>
  <w:style w:type="character" w:styleId="Titre1Car" w:customStyle="1">
    <w:name w:val="Titre 1 Car"/>
    <w:basedOn w:val="DefaultParagraphFont"/>
    <w:link w:val="Titre1"/>
    <w:uiPriority w:val="9"/>
    <w:qFormat/>
    <w:rsid w:val="00f438c0"/>
    <w:rPr>
      <w:rFonts w:ascii="Calibri Light" w:hAnsi="Calibri Light" w:eastAsia="" w:cs="" w:asciiTheme="majorHAnsi" w:cstheme="majorBidi" w:eastAsiaTheme="majorEastAsia" w:hAnsiTheme="majorHAnsi"/>
      <w:color w:val="2F5496" w:themeColor="accent1" w:themeShade="bf"/>
      <w:sz w:val="32"/>
      <w:szCs w:val="32"/>
      <w:lang w:eastAsia="fr-FR"/>
    </w:rPr>
  </w:style>
  <w:style w:type="character" w:styleId="Titre2Car" w:customStyle="1">
    <w:name w:val="Titre 2 Car"/>
    <w:basedOn w:val="DefaultParagraphFont"/>
    <w:link w:val="Titre2"/>
    <w:uiPriority w:val="9"/>
    <w:qFormat/>
    <w:rsid w:val="00f438c0"/>
    <w:rPr>
      <w:rFonts w:ascii="Calibri Light" w:hAnsi="Calibri Light" w:eastAsia="" w:cs="" w:asciiTheme="majorHAnsi" w:cstheme="majorBidi" w:eastAsiaTheme="majorEastAsia" w:hAnsiTheme="majorHAnsi"/>
      <w:color w:val="2F5496" w:themeColor="accent1" w:themeShade="bf"/>
      <w:sz w:val="26"/>
      <w:szCs w:val="26"/>
      <w:lang w:eastAsia="fr-FR"/>
    </w:rPr>
  </w:style>
  <w:style w:type="character" w:styleId="Titre3Car" w:customStyle="1">
    <w:name w:val="Titre 3 Car"/>
    <w:basedOn w:val="DefaultParagraphFont"/>
    <w:link w:val="Titre3"/>
    <w:uiPriority w:val="9"/>
    <w:qFormat/>
    <w:rsid w:val="00f438c0"/>
    <w:rPr>
      <w:rFonts w:ascii="Calibri Light" w:hAnsi="Calibri Light" w:eastAsia="" w:cs="" w:asciiTheme="majorHAnsi" w:cstheme="majorBidi" w:eastAsiaTheme="majorEastAsia" w:hAnsiTheme="majorHAnsi"/>
      <w:color w:val="1F3763" w:themeColor="accent1" w:themeShade="7f"/>
      <w:lang w:eastAsia="fr-FR"/>
    </w:rPr>
  </w:style>
  <w:style w:type="character" w:styleId="Titre4Car" w:customStyle="1">
    <w:name w:val="Titre 4 Car"/>
    <w:basedOn w:val="DefaultParagraphFont"/>
    <w:link w:val="Titre4"/>
    <w:uiPriority w:val="9"/>
    <w:qFormat/>
    <w:rsid w:val="00f438c0"/>
    <w:rPr>
      <w:rFonts w:ascii="Calibri Light" w:hAnsi="Calibri Light" w:eastAsia="" w:cs="" w:asciiTheme="majorHAnsi" w:cstheme="majorBidi" w:eastAsiaTheme="majorEastAsia" w:hAnsiTheme="majorHAnsi"/>
      <w:i/>
      <w:iCs/>
      <w:color w:val="2F5496" w:themeColor="accent1" w:themeShade="bf"/>
      <w:lang w:eastAsia="fr-FR"/>
    </w:rPr>
  </w:style>
  <w:style w:type="character" w:styleId="Titre5Car" w:customStyle="1">
    <w:name w:val="Titre 5 Car"/>
    <w:basedOn w:val="DefaultParagraphFont"/>
    <w:link w:val="Titre5"/>
    <w:uiPriority w:val="9"/>
    <w:qFormat/>
    <w:rsid w:val="00f438c0"/>
    <w:rPr>
      <w:rFonts w:ascii="Calibri Light" w:hAnsi="Calibri Light" w:eastAsia="" w:cs="" w:asciiTheme="majorHAnsi" w:cstheme="majorBidi" w:eastAsiaTheme="majorEastAsia" w:hAnsiTheme="majorHAnsi"/>
      <w:color w:val="2F5496" w:themeColor="accent1" w:themeShade="bf"/>
      <w:lang w:eastAsia="fr-FR"/>
    </w:rPr>
  </w:style>
  <w:style w:type="character" w:styleId="Titre6Car" w:customStyle="1">
    <w:name w:val="Titre 6 Car"/>
    <w:basedOn w:val="DefaultParagraphFont"/>
    <w:link w:val="Titre6"/>
    <w:uiPriority w:val="9"/>
    <w:qFormat/>
    <w:rsid w:val="00f438c0"/>
    <w:rPr>
      <w:rFonts w:ascii="Calibri Light" w:hAnsi="Calibri Light" w:eastAsia="" w:cs="" w:asciiTheme="majorHAnsi" w:cstheme="majorBidi" w:eastAsiaTheme="majorEastAsia" w:hAnsiTheme="majorHAnsi"/>
      <w:color w:val="1F3763" w:themeColor="accent1" w:themeShade="7f"/>
      <w:lang w:eastAsia="fr-FR"/>
    </w:rPr>
  </w:style>
  <w:style w:type="character" w:styleId="Titre7Car" w:customStyle="1">
    <w:name w:val="Titre 7 Car"/>
    <w:basedOn w:val="DefaultParagraphFont"/>
    <w:link w:val="Titre7"/>
    <w:uiPriority w:val="9"/>
    <w:qFormat/>
    <w:rsid w:val="00f438c0"/>
    <w:rPr>
      <w:rFonts w:ascii="Calibri Light" w:hAnsi="Calibri Light" w:eastAsia="" w:cs="" w:asciiTheme="majorHAnsi" w:cstheme="majorBidi" w:eastAsiaTheme="majorEastAsia" w:hAnsiTheme="majorHAnsi"/>
      <w:i/>
      <w:iCs/>
      <w:color w:val="1F3763" w:themeColor="accent1" w:themeShade="7f"/>
      <w:lang w:eastAsia="fr-FR"/>
    </w:rPr>
  </w:style>
  <w:style w:type="character" w:styleId="Titre8Car" w:customStyle="1">
    <w:name w:val="Titre 8 Car"/>
    <w:basedOn w:val="DefaultParagraphFont"/>
    <w:link w:val="Titre8"/>
    <w:uiPriority w:val="9"/>
    <w:qFormat/>
    <w:rsid w:val="00f438c0"/>
    <w:rPr>
      <w:rFonts w:ascii="Calibri Light" w:hAnsi="Calibri Light" w:eastAsia="" w:cs="" w:asciiTheme="majorHAnsi" w:cstheme="majorBidi" w:eastAsiaTheme="majorEastAsia" w:hAnsiTheme="majorHAnsi"/>
      <w:color w:val="272727" w:themeColor="text1" w:themeTint="d8"/>
      <w:sz w:val="21"/>
      <w:szCs w:val="21"/>
      <w:lang w:eastAsia="fr-FR"/>
    </w:rPr>
  </w:style>
  <w:style w:type="character" w:styleId="Titre9Car" w:customStyle="1">
    <w:name w:val="Titre 9 Car"/>
    <w:basedOn w:val="DefaultParagraphFont"/>
    <w:link w:val="Titre9"/>
    <w:uiPriority w:val="9"/>
    <w:qFormat/>
    <w:rsid w:val="00f438c0"/>
    <w:rPr>
      <w:rFonts w:ascii="Calibri Light" w:hAnsi="Calibri Light" w:eastAsia="" w:cs="" w:asciiTheme="majorHAnsi" w:cstheme="majorBidi" w:eastAsiaTheme="majorEastAsia" w:hAnsiTheme="majorHAnsi"/>
      <w:i/>
      <w:iCs/>
      <w:color w:val="272727" w:themeColor="text1" w:themeTint="d8"/>
      <w:sz w:val="21"/>
      <w:szCs w:val="21"/>
      <w:lang w:eastAsia="fr-FR"/>
    </w:rPr>
  </w:style>
  <w:style w:type="character" w:styleId="Linenumber">
    <w:name w:val="line number"/>
    <w:basedOn w:val="DefaultParagraphFont"/>
    <w:uiPriority w:val="99"/>
    <w:semiHidden/>
    <w:unhideWhenUsed/>
    <w:qFormat/>
    <w:rsid w:val="00780fec"/>
    <w:rPr/>
  </w:style>
  <w:style w:type="character" w:styleId="CitationintenseCar" w:customStyle="1">
    <w:name w:val="Citation intense Car"/>
    <w:basedOn w:val="DefaultParagraphFont"/>
    <w:link w:val="Citationintense"/>
    <w:uiPriority w:val="30"/>
    <w:qFormat/>
    <w:rsid w:val="001d50ac"/>
    <w:rPr>
      <w:rFonts w:ascii="Times New Roman" w:hAnsi="Times New Roman" w:eastAsia="Times New Roman" w:cs="Times New Roman"/>
      <w:i/>
      <w:iCs/>
      <w:color w:val="4472C4" w:themeColor="accent1"/>
      <w:lang w:eastAsia="fr-FR"/>
    </w:rPr>
  </w:style>
  <w:style w:type="character" w:styleId="PlaceholderText">
    <w:name w:val="Placeholder Text"/>
    <w:basedOn w:val="DefaultParagraphFont"/>
    <w:uiPriority w:val="99"/>
    <w:semiHidden/>
    <w:qFormat/>
    <w:rsid w:val="00f620a9"/>
    <w:rPr>
      <w:color w:val="808080"/>
    </w:rPr>
  </w:style>
  <w:style w:type="character" w:styleId="NotedebasdepageCar" w:customStyle="1">
    <w:name w:val="Note de bas de page Car"/>
    <w:basedOn w:val="DefaultParagraphFont"/>
    <w:link w:val="Notedebasdepage"/>
    <w:uiPriority w:val="99"/>
    <w:semiHidden/>
    <w:qFormat/>
    <w:rsid w:val="00b02f88"/>
    <w:rPr>
      <w:rFonts w:ascii="Times New Roman" w:hAnsi="Times New Roman" w:eastAsia="Times New Roman" w:cs="Times New Roman"/>
      <w:sz w:val="20"/>
      <w:szCs w:val="20"/>
      <w:lang w:eastAsia="fr-FR"/>
    </w:rPr>
  </w:style>
  <w:style w:type="character" w:styleId="Ancredenotedebasdepage">
    <w:name w:val="Ancre de note de bas de page"/>
    <w:rPr>
      <w:vertAlign w:val="superscript"/>
    </w:rPr>
  </w:style>
  <w:style w:type="character" w:styleId="FootnoteCharacters">
    <w:name w:val="Footnote Characters"/>
    <w:basedOn w:val="DefaultParagraphFont"/>
    <w:uiPriority w:val="99"/>
    <w:semiHidden/>
    <w:unhideWhenUsed/>
    <w:qFormat/>
    <w:rsid w:val="00b02f88"/>
    <w:rPr>
      <w:vertAlign w:val="superscript"/>
    </w:rPr>
  </w:style>
  <w:style w:type="character" w:styleId="Sautdindex">
    <w:name w:val="Saut d'index"/>
    <w:qFormat/>
    <w:rPr/>
  </w:style>
  <w:style w:type="paragraph" w:styleId="Titre">
    <w:name w:val="Titre"/>
    <w:basedOn w:val="Normal"/>
    <w:next w:val="Corpsdetexte"/>
    <w:qFormat/>
    <w:pPr>
      <w:keepNext w:val="true"/>
      <w:spacing w:before="240" w:after="120"/>
    </w:pPr>
    <w:rPr>
      <w:rFonts w:ascii="Liberation Sans" w:hAnsi="Liberation Sans" w:eastAsia="Microsoft YaHei" w:cs="Arial"/>
      <w:sz w:val="28"/>
      <w:szCs w:val="28"/>
    </w:rPr>
  </w:style>
  <w:style w:type="paragraph" w:styleId="Corpsdetexte">
    <w:name w:val="Body Text"/>
    <w:basedOn w:val="Normal"/>
    <w:pPr>
      <w:spacing w:lineRule="auto" w:line="276" w:before="0" w:after="140"/>
    </w:pPr>
    <w:rPr/>
  </w:style>
  <w:style w:type="paragraph" w:styleId="Liste">
    <w:name w:val="List"/>
    <w:basedOn w:val="Corpsdetexte"/>
    <w:pPr/>
    <w:rPr>
      <w:rFonts w:cs="Arial"/>
    </w:rPr>
  </w:style>
  <w:style w:type="paragraph" w:styleId="Lgende">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Entteetpieddepage">
    <w:name w:val="En-tête et pied de page"/>
    <w:basedOn w:val="Normal"/>
    <w:qFormat/>
    <w:pPr/>
    <w:rPr/>
  </w:style>
  <w:style w:type="paragraph" w:styleId="Entte">
    <w:name w:val="Header"/>
    <w:basedOn w:val="Normal"/>
    <w:link w:val="En-tteCar"/>
    <w:uiPriority w:val="99"/>
    <w:unhideWhenUsed/>
    <w:rsid w:val="00643fdf"/>
    <w:pPr>
      <w:tabs>
        <w:tab w:val="clear" w:pos="708"/>
        <w:tab w:val="center" w:pos="4536" w:leader="none"/>
        <w:tab w:val="right" w:pos="9072" w:leader="none"/>
      </w:tabs>
    </w:pPr>
    <w:rPr/>
  </w:style>
  <w:style w:type="paragraph" w:styleId="Pieddepage">
    <w:name w:val="Footer"/>
    <w:basedOn w:val="Normal"/>
    <w:link w:val="PieddepageCar"/>
    <w:uiPriority w:val="99"/>
    <w:unhideWhenUsed/>
    <w:rsid w:val="00643fdf"/>
    <w:pPr>
      <w:tabs>
        <w:tab w:val="clear" w:pos="708"/>
        <w:tab w:val="center" w:pos="4536" w:leader="none"/>
        <w:tab w:val="right" w:pos="9072" w:leader="none"/>
      </w:tabs>
    </w:pPr>
    <w:rPr/>
  </w:style>
  <w:style w:type="paragraph" w:styleId="ListParagraph">
    <w:name w:val="List Paragraph"/>
    <w:basedOn w:val="Normal"/>
    <w:qFormat/>
    <w:rsid w:val="000f2986"/>
    <w:pPr>
      <w:spacing w:before="0" w:after="0"/>
      <w:ind w:left="720" w:hanging="0"/>
      <w:contextualSpacing/>
    </w:pPr>
    <w:rPr/>
  </w:style>
  <w:style w:type="paragraph" w:styleId="Annotationtext">
    <w:name w:val="annotation text"/>
    <w:basedOn w:val="Normal"/>
    <w:link w:val="CommentaireCar"/>
    <w:uiPriority w:val="99"/>
    <w:semiHidden/>
    <w:unhideWhenUsed/>
    <w:qFormat/>
    <w:rsid w:val="00c602db"/>
    <w:pPr/>
    <w:rPr>
      <w:sz w:val="20"/>
      <w:szCs w:val="20"/>
    </w:rPr>
  </w:style>
  <w:style w:type="paragraph" w:styleId="Annotationsubject">
    <w:name w:val="annotation subject"/>
    <w:basedOn w:val="Annotationtext"/>
    <w:next w:val="Annotationtext"/>
    <w:link w:val="ObjetducommentaireCar"/>
    <w:uiPriority w:val="99"/>
    <w:semiHidden/>
    <w:unhideWhenUsed/>
    <w:qFormat/>
    <w:rsid w:val="00c602db"/>
    <w:pPr/>
    <w:rPr>
      <w:b/>
      <w:bCs/>
    </w:rPr>
  </w:style>
  <w:style w:type="paragraph" w:styleId="BalloonText">
    <w:name w:val="Balloon Text"/>
    <w:basedOn w:val="Normal"/>
    <w:link w:val="TextedebullesCar"/>
    <w:uiPriority w:val="99"/>
    <w:semiHidden/>
    <w:unhideWhenUsed/>
    <w:qFormat/>
    <w:rsid w:val="00c602db"/>
    <w:pPr/>
    <w:rPr>
      <w:sz w:val="18"/>
      <w:szCs w:val="18"/>
    </w:rPr>
  </w:style>
  <w:style w:type="paragraph" w:styleId="Revision">
    <w:name w:val="Revision"/>
    <w:uiPriority w:val="99"/>
    <w:semiHidden/>
    <w:qFormat/>
    <w:rsid w:val="001656b1"/>
    <w:pPr>
      <w:widowControl/>
      <w:bidi w:val="0"/>
      <w:spacing w:before="0" w:after="0"/>
      <w:jc w:val="left"/>
    </w:pPr>
    <w:rPr>
      <w:rFonts w:ascii="Calibri" w:hAnsi="Calibri" w:eastAsia="Calibri" w:cs="" w:asciiTheme="minorHAnsi" w:cstheme="minorBidi" w:eastAsiaTheme="minorHAnsi" w:hAnsiTheme="minorHAnsi"/>
      <w:color w:val="auto"/>
      <w:kern w:val="0"/>
      <w:sz w:val="24"/>
      <w:szCs w:val="24"/>
      <w:lang w:val="fr-FR" w:eastAsia="en-US" w:bidi="ar-SA"/>
    </w:rPr>
  </w:style>
  <w:style w:type="paragraph" w:styleId="Tabledesmatiresniveau1">
    <w:name w:val="TOC 1"/>
    <w:basedOn w:val="Normal"/>
    <w:next w:val="Normal"/>
    <w:autoRedefine/>
    <w:uiPriority w:val="39"/>
    <w:unhideWhenUsed/>
    <w:rsid w:val="00de120d"/>
    <w:pPr>
      <w:spacing w:before="120" w:after="0"/>
    </w:pPr>
    <w:rPr>
      <w:rFonts w:ascii="Calibri" w:hAnsi="Calibri" w:asciiTheme="minorHAnsi" w:hAnsiTheme="minorHAnsi"/>
      <w:b/>
      <w:bCs/>
      <w:i/>
      <w:iCs/>
    </w:rPr>
  </w:style>
  <w:style w:type="paragraph" w:styleId="Tabledesmatiresniveau2">
    <w:name w:val="TOC 2"/>
    <w:basedOn w:val="Normal"/>
    <w:next w:val="Normal"/>
    <w:autoRedefine/>
    <w:uiPriority w:val="39"/>
    <w:unhideWhenUsed/>
    <w:rsid w:val="00fe7b48"/>
    <w:pPr>
      <w:spacing w:before="120" w:after="0"/>
      <w:ind w:left="240" w:hanging="0"/>
    </w:pPr>
    <w:rPr>
      <w:rFonts w:ascii="Calibri" w:hAnsi="Calibri" w:asciiTheme="minorHAnsi" w:hAnsiTheme="minorHAnsi"/>
      <w:b/>
      <w:bCs/>
      <w:sz w:val="22"/>
      <w:szCs w:val="22"/>
    </w:rPr>
  </w:style>
  <w:style w:type="paragraph" w:styleId="NormalWeb">
    <w:name w:val="Normal (Web)"/>
    <w:basedOn w:val="Normal"/>
    <w:uiPriority w:val="99"/>
    <w:unhideWhenUsed/>
    <w:qFormat/>
    <w:rsid w:val="003624b7"/>
    <w:pPr>
      <w:spacing w:beforeAutospacing="1" w:afterAutospacing="1"/>
    </w:pPr>
    <w:rPr/>
  </w:style>
  <w:style w:type="paragraph" w:styleId="TOCHeading">
    <w:name w:val="TOC Heading"/>
    <w:basedOn w:val="Titre1"/>
    <w:next w:val="Normal"/>
    <w:uiPriority w:val="39"/>
    <w:unhideWhenUsed/>
    <w:qFormat/>
    <w:rsid w:val="00fe7b48"/>
    <w:pPr>
      <w:numPr>
        <w:ilvl w:val="0"/>
        <w:numId w:val="0"/>
      </w:numPr>
      <w:spacing w:lineRule="auto" w:line="276" w:before="480" w:after="0"/>
    </w:pPr>
    <w:rPr>
      <w:b/>
      <w:bCs/>
      <w:sz w:val="28"/>
      <w:szCs w:val="28"/>
    </w:rPr>
  </w:style>
  <w:style w:type="paragraph" w:styleId="Tabledesmatiresniveau3">
    <w:name w:val="TOC 3"/>
    <w:basedOn w:val="Normal"/>
    <w:next w:val="Normal"/>
    <w:autoRedefine/>
    <w:uiPriority w:val="39"/>
    <w:unhideWhenUsed/>
    <w:rsid w:val="00fe7b48"/>
    <w:pPr>
      <w:ind w:left="480" w:hanging="0"/>
    </w:pPr>
    <w:rPr>
      <w:rFonts w:ascii="Calibri" w:hAnsi="Calibri" w:asciiTheme="minorHAnsi" w:hAnsiTheme="minorHAnsi"/>
      <w:sz w:val="20"/>
      <w:szCs w:val="20"/>
    </w:rPr>
  </w:style>
  <w:style w:type="paragraph" w:styleId="Tabledesmatiresniveau4">
    <w:name w:val="TOC 4"/>
    <w:basedOn w:val="Normal"/>
    <w:next w:val="Normal"/>
    <w:autoRedefine/>
    <w:uiPriority w:val="39"/>
    <w:unhideWhenUsed/>
    <w:rsid w:val="00fe7b48"/>
    <w:pPr>
      <w:ind w:left="720" w:hanging="0"/>
    </w:pPr>
    <w:rPr>
      <w:rFonts w:ascii="Calibri" w:hAnsi="Calibri" w:asciiTheme="minorHAnsi" w:hAnsiTheme="minorHAnsi"/>
      <w:sz w:val="20"/>
      <w:szCs w:val="20"/>
    </w:rPr>
  </w:style>
  <w:style w:type="paragraph" w:styleId="Tabledesmatiresniveau5">
    <w:name w:val="TOC 5"/>
    <w:basedOn w:val="Normal"/>
    <w:next w:val="Normal"/>
    <w:autoRedefine/>
    <w:uiPriority w:val="39"/>
    <w:unhideWhenUsed/>
    <w:rsid w:val="00fe7b48"/>
    <w:pPr>
      <w:ind w:left="960" w:hanging="0"/>
    </w:pPr>
    <w:rPr>
      <w:rFonts w:ascii="Calibri" w:hAnsi="Calibri" w:asciiTheme="minorHAnsi" w:hAnsiTheme="minorHAnsi"/>
      <w:sz w:val="20"/>
      <w:szCs w:val="20"/>
    </w:rPr>
  </w:style>
  <w:style w:type="paragraph" w:styleId="Tabledesmatiresniveau6">
    <w:name w:val="TOC 6"/>
    <w:basedOn w:val="Normal"/>
    <w:next w:val="Normal"/>
    <w:autoRedefine/>
    <w:uiPriority w:val="39"/>
    <w:unhideWhenUsed/>
    <w:rsid w:val="00fe7b48"/>
    <w:pPr>
      <w:ind w:left="1200" w:hanging="0"/>
    </w:pPr>
    <w:rPr>
      <w:rFonts w:ascii="Calibri" w:hAnsi="Calibri" w:asciiTheme="minorHAnsi" w:hAnsiTheme="minorHAnsi"/>
      <w:sz w:val="20"/>
      <w:szCs w:val="20"/>
    </w:rPr>
  </w:style>
  <w:style w:type="paragraph" w:styleId="Tabledesmatiresniveau7">
    <w:name w:val="TOC 7"/>
    <w:basedOn w:val="Normal"/>
    <w:next w:val="Normal"/>
    <w:autoRedefine/>
    <w:uiPriority w:val="39"/>
    <w:unhideWhenUsed/>
    <w:rsid w:val="00fe7b48"/>
    <w:pPr>
      <w:ind w:left="1440" w:hanging="0"/>
    </w:pPr>
    <w:rPr>
      <w:rFonts w:ascii="Calibri" w:hAnsi="Calibri" w:asciiTheme="minorHAnsi" w:hAnsiTheme="minorHAnsi"/>
      <w:sz w:val="20"/>
      <w:szCs w:val="20"/>
    </w:rPr>
  </w:style>
  <w:style w:type="paragraph" w:styleId="Tabledesmatiresniveau8">
    <w:name w:val="TOC 8"/>
    <w:basedOn w:val="Normal"/>
    <w:next w:val="Normal"/>
    <w:autoRedefine/>
    <w:uiPriority w:val="39"/>
    <w:unhideWhenUsed/>
    <w:rsid w:val="00fe7b48"/>
    <w:pPr>
      <w:ind w:left="1680" w:hanging="0"/>
    </w:pPr>
    <w:rPr>
      <w:rFonts w:ascii="Calibri" w:hAnsi="Calibri" w:asciiTheme="minorHAnsi" w:hAnsiTheme="minorHAnsi"/>
      <w:sz w:val="20"/>
      <w:szCs w:val="20"/>
    </w:rPr>
  </w:style>
  <w:style w:type="paragraph" w:styleId="Tabledesmatiresniveau9">
    <w:name w:val="TOC 9"/>
    <w:basedOn w:val="Normal"/>
    <w:next w:val="Normal"/>
    <w:autoRedefine/>
    <w:uiPriority w:val="39"/>
    <w:unhideWhenUsed/>
    <w:rsid w:val="00fe7b48"/>
    <w:pPr>
      <w:ind w:left="1920" w:hanging="0"/>
    </w:pPr>
    <w:rPr>
      <w:rFonts w:ascii="Calibri" w:hAnsi="Calibri" w:asciiTheme="minorHAnsi" w:hAnsiTheme="minorHAnsi"/>
      <w:sz w:val="20"/>
      <w:szCs w:val="20"/>
    </w:rPr>
  </w:style>
  <w:style w:type="paragraph" w:styleId="IntenseQuote">
    <w:name w:val="Intense Quote"/>
    <w:basedOn w:val="Normal"/>
    <w:next w:val="Normal"/>
    <w:link w:val="CitationintenseCar"/>
    <w:uiPriority w:val="30"/>
    <w:qFormat/>
    <w:rsid w:val="001d50ac"/>
    <w:pPr>
      <w:pBdr>
        <w:top w:val="single" w:sz="4" w:space="10" w:color="4472C4"/>
        <w:bottom w:val="single" w:sz="4" w:space="10" w:color="4472C4"/>
      </w:pBdr>
      <w:spacing w:before="360" w:after="360"/>
      <w:ind w:left="864" w:right="864" w:hanging="0"/>
      <w:jc w:val="center"/>
    </w:pPr>
    <w:rPr>
      <w:i/>
      <w:iCs/>
      <w:color w:val="4472C4" w:themeColor="accent1"/>
    </w:rPr>
  </w:style>
  <w:style w:type="paragraph" w:styleId="Msonormal" w:customStyle="1">
    <w:name w:val="msonormal"/>
    <w:basedOn w:val="Normal"/>
    <w:qFormat/>
    <w:rsid w:val="001d10a9"/>
    <w:pPr>
      <w:spacing w:beforeAutospacing="1" w:afterAutospacing="1"/>
    </w:pPr>
    <w:rPr/>
  </w:style>
  <w:style w:type="paragraph" w:styleId="Xl82" w:customStyle="1">
    <w:name w:val="xl82"/>
    <w:basedOn w:val="Normal"/>
    <w:qFormat/>
    <w:rsid w:val="001d10a9"/>
    <w:pPr>
      <w:pBdr>
        <w:top w:val="single" w:sz="4" w:space="0" w:color="000000"/>
        <w:left w:val="single" w:sz="4" w:space="0" w:color="000000"/>
        <w:bottom w:val="single" w:sz="4" w:space="0" w:color="000000"/>
        <w:right w:val="single" w:sz="4" w:space="0" w:color="000000"/>
      </w:pBdr>
      <w:shd w:val="clear" w:color="FFFF00" w:fill="FFFF00"/>
      <w:spacing w:beforeAutospacing="1" w:afterAutospacing="1"/>
      <w:textAlignment w:val="center"/>
    </w:pPr>
    <w:rPr>
      <w:rFonts w:ascii="Arial" w:hAnsi="Arial" w:cs="Arial"/>
      <w:b/>
      <w:bCs/>
      <w:sz w:val="20"/>
      <w:szCs w:val="20"/>
    </w:rPr>
  </w:style>
  <w:style w:type="paragraph" w:styleId="Xl83" w:customStyle="1">
    <w:name w:val="xl83"/>
    <w:basedOn w:val="Normal"/>
    <w:qFormat/>
    <w:rsid w:val="001d10a9"/>
    <w:pPr>
      <w:pBdr>
        <w:top w:val="single" w:sz="4" w:space="0" w:color="000000"/>
        <w:left w:val="single" w:sz="4" w:space="0" w:color="000000"/>
        <w:bottom w:val="single" w:sz="4" w:space="0" w:color="000000"/>
        <w:right w:val="single" w:sz="4" w:space="0" w:color="000000"/>
      </w:pBdr>
      <w:shd w:val="clear" w:color="FFFF00" w:fill="FFFF00"/>
      <w:spacing w:beforeAutospacing="1" w:afterAutospacing="1"/>
      <w:jc w:val="center"/>
      <w:textAlignment w:val="center"/>
    </w:pPr>
    <w:rPr>
      <w:rFonts w:ascii="Arial" w:hAnsi="Arial" w:cs="Arial"/>
      <w:b/>
      <w:bCs/>
      <w:sz w:val="20"/>
      <w:szCs w:val="20"/>
    </w:rPr>
  </w:style>
  <w:style w:type="paragraph" w:styleId="Xl84" w:customStyle="1">
    <w:name w:val="xl84"/>
    <w:basedOn w:val="Normal"/>
    <w:qFormat/>
    <w:rsid w:val="001d10a9"/>
    <w:pPr>
      <w:pBdr>
        <w:top w:val="single" w:sz="4" w:space="0" w:color="000000"/>
        <w:left w:val="single" w:sz="4" w:space="0" w:color="000000"/>
        <w:bottom w:val="single" w:sz="4" w:space="0" w:color="000000"/>
        <w:right w:val="single" w:sz="4" w:space="0" w:color="000000"/>
      </w:pBdr>
      <w:shd w:val="clear" w:color="FFFF00" w:fill="FFFF00"/>
      <w:spacing w:beforeAutospacing="1" w:afterAutospacing="1"/>
      <w:jc w:val="center"/>
      <w:textAlignment w:val="center"/>
    </w:pPr>
    <w:rPr>
      <w:rFonts w:ascii="Arial" w:hAnsi="Arial" w:cs="Arial"/>
      <w:b/>
      <w:bCs/>
      <w:sz w:val="20"/>
      <w:szCs w:val="20"/>
    </w:rPr>
  </w:style>
  <w:style w:type="paragraph" w:styleId="Xl85" w:customStyle="1">
    <w:name w:val="xl85"/>
    <w:basedOn w:val="Normal"/>
    <w:qFormat/>
    <w:rsid w:val="001d10a9"/>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20"/>
      <w:szCs w:val="20"/>
    </w:rPr>
  </w:style>
  <w:style w:type="paragraph" w:styleId="Xl86" w:customStyle="1">
    <w:name w:val="xl86"/>
    <w:basedOn w:val="Normal"/>
    <w:qFormat/>
    <w:rsid w:val="001d10a9"/>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color w:val="000000"/>
      <w:sz w:val="20"/>
      <w:szCs w:val="20"/>
    </w:rPr>
  </w:style>
  <w:style w:type="paragraph" w:styleId="Xl87" w:customStyle="1">
    <w:name w:val="xl87"/>
    <w:basedOn w:val="Normal"/>
    <w:qFormat/>
    <w:rsid w:val="001d10a9"/>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0"/>
      <w:szCs w:val="20"/>
    </w:rPr>
  </w:style>
  <w:style w:type="paragraph" w:styleId="Xl88" w:customStyle="1">
    <w:name w:val="xl88"/>
    <w:basedOn w:val="Normal"/>
    <w:qFormat/>
    <w:rsid w:val="001d10a9"/>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20"/>
      <w:szCs w:val="20"/>
    </w:rPr>
  </w:style>
  <w:style w:type="paragraph" w:styleId="Xl89" w:customStyle="1">
    <w:name w:val="xl89"/>
    <w:basedOn w:val="Normal"/>
    <w:qFormat/>
    <w:rsid w:val="001d10a9"/>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Arial" w:hAnsi="Arial" w:cs="Arial"/>
      <w:sz w:val="20"/>
      <w:szCs w:val="20"/>
    </w:rPr>
  </w:style>
  <w:style w:type="paragraph" w:styleId="Xl90" w:customStyle="1">
    <w:name w:val="xl90"/>
    <w:basedOn w:val="Normal"/>
    <w:qFormat/>
    <w:rsid w:val="001d10a9"/>
    <w:pPr>
      <w:pBdr>
        <w:top w:val="single" w:sz="4" w:space="0" w:color="000000"/>
        <w:left w:val="single" w:sz="4" w:space="0" w:color="000000"/>
        <w:bottom w:val="single" w:sz="4" w:space="0" w:color="000000"/>
        <w:right w:val="single" w:sz="4" w:space="0" w:color="000000"/>
      </w:pBdr>
      <w:spacing w:beforeAutospacing="1" w:afterAutospacing="1"/>
      <w:textAlignment w:val="center"/>
    </w:pPr>
    <w:rPr>
      <w:b/>
      <w:bCs/>
      <w:sz w:val="18"/>
      <w:szCs w:val="18"/>
    </w:rPr>
  </w:style>
  <w:style w:type="paragraph" w:styleId="Xl91" w:customStyle="1">
    <w:name w:val="xl91"/>
    <w:basedOn w:val="Normal"/>
    <w:qFormat/>
    <w:rsid w:val="001d10a9"/>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b/>
      <w:bCs/>
      <w:sz w:val="20"/>
      <w:szCs w:val="20"/>
    </w:rPr>
  </w:style>
  <w:style w:type="paragraph" w:styleId="Xl92" w:customStyle="1">
    <w:name w:val="xl92"/>
    <w:basedOn w:val="Normal"/>
    <w:qFormat/>
    <w:rsid w:val="001d10a9"/>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0"/>
      <w:szCs w:val="20"/>
    </w:rPr>
  </w:style>
  <w:style w:type="paragraph" w:styleId="Xl93" w:customStyle="1">
    <w:name w:val="xl93"/>
    <w:basedOn w:val="Normal"/>
    <w:qFormat/>
    <w:rsid w:val="001d10a9"/>
    <w:pPr>
      <w:pBdr>
        <w:top w:val="single" w:sz="4" w:space="0" w:color="000000"/>
        <w:left w:val="single" w:sz="4" w:space="0" w:color="000000"/>
        <w:bottom w:val="single" w:sz="4" w:space="0" w:color="000000"/>
        <w:right w:val="single" w:sz="4" w:space="0" w:color="000000"/>
      </w:pBdr>
      <w:spacing w:beforeAutospacing="1" w:afterAutospacing="1"/>
    </w:pPr>
    <w:rPr>
      <w:rFonts w:ascii="Arial" w:hAnsi="Arial" w:cs="Arial"/>
      <w:sz w:val="20"/>
      <w:szCs w:val="20"/>
    </w:rPr>
  </w:style>
  <w:style w:type="paragraph" w:styleId="Standard" w:customStyle="1">
    <w:name w:val="Standard"/>
    <w:qFormat/>
    <w:rsid w:val="00902b15"/>
    <w:pPr>
      <w:widowControl/>
      <w:suppressAutoHyphens w:val="true"/>
      <w:bidi w:val="0"/>
      <w:spacing w:lineRule="auto" w:line="276" w:before="0" w:after="0"/>
      <w:jc w:val="both"/>
      <w:textAlignment w:val="baseline"/>
    </w:pPr>
    <w:rPr>
      <w:rFonts w:ascii="Arial" w:hAnsi="Arial" w:eastAsia="Times New Roman" w:cs="Arial"/>
      <w:color w:val="484D7A"/>
      <w:kern w:val="0"/>
      <w:sz w:val="20"/>
      <w:szCs w:val="20"/>
      <w:lang w:eastAsia="fr-FR" w:val="fr-FR" w:bidi="ar-SA"/>
    </w:rPr>
  </w:style>
  <w:style w:type="paragraph" w:styleId="Notedebasdepage">
    <w:name w:val="Footnote Text"/>
    <w:basedOn w:val="Normal"/>
    <w:link w:val="NotedebasdepageCar"/>
    <w:uiPriority w:val="99"/>
    <w:semiHidden/>
    <w:unhideWhenUsed/>
    <w:rsid w:val="00b02f88"/>
    <w:pPr/>
    <w:rPr>
      <w:sz w:val="20"/>
      <w:szCs w:val="20"/>
    </w:rPr>
  </w:style>
  <w:style w:type="paragraph" w:styleId="Contenudecadre">
    <w:name w:val="Contenu de cadre"/>
    <w:basedOn w:val="Normal"/>
    <w:qFormat/>
    <w:pPr/>
    <w:rPr/>
  </w:style>
  <w:style w:type="paragraph" w:styleId="Enttegauche">
    <w:name w:val="En-tête gauche"/>
    <w:basedOn w:val="Entte"/>
    <w:qFormat/>
    <w:pPr/>
    <w:rPr/>
  </w:style>
  <w:style w:type="numbering" w:styleId="NoList" w:default="1">
    <w:name w:val="No List"/>
    <w:uiPriority w:val="99"/>
    <w:semiHidden/>
    <w:unhideWhenUsed/>
    <w:qFormat/>
  </w:style>
  <w:style w:type="numbering" w:styleId="Cerema2021" w:customStyle="1">
    <w:name w:val="Cerema 2021"/>
    <w:uiPriority w:val="99"/>
    <w:qFormat/>
    <w:rsid w:val="00f438c0"/>
  </w:style>
  <w:style w:type="table" w:default="1" w:styleId="TableauNormal">
    <w:name w:val="Normal Table"/>
    <w:uiPriority w:val="99"/>
    <w:semiHidden/>
    <w:unhideWhenUsed/>
    <w:tblPr>
      <w:tblCellMar>
        <w:top w:w="0" w:type="dxa"/>
        <w:left w:w="108" w:type="dxa"/>
        <w:bottom w:w="0" w:type="dxa"/>
        <w:right w:w="108" w:type="dxa"/>
      </w:tblCellMar>
    </w:tblPr>
  </w:style>
  <w:style w:type="table" w:styleId="Grilledutableau">
    <w:name w:val="Table Grid"/>
    <w:basedOn w:val="TableauNormal"/>
    <w:uiPriority w:val="39"/>
    <w:rsid w:val="00db56f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eader" Target="header1.xml"/><Relationship Id="rId4" Type="http://schemas.openxmlformats.org/officeDocument/2006/relationships/header" Target="header2.xml"/><Relationship Id="rId5" Type="http://schemas.openxmlformats.org/officeDocument/2006/relationships/header" Target="header3.xml"/><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er" Target="footer3.xml"/><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jpeg"/><Relationship Id="rId15" Type="http://schemas.openxmlformats.org/officeDocument/2006/relationships/image" Target="media/image11.png"/><Relationship Id="rId16" Type="http://schemas.openxmlformats.org/officeDocument/2006/relationships/header" Target="header4.xml"/><Relationship Id="rId17" Type="http://schemas.openxmlformats.org/officeDocument/2006/relationships/header" Target="header5.xm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header" Target="header6.xml"/><Relationship Id="rId21" Type="http://schemas.openxmlformats.org/officeDocument/2006/relationships/header" Target="header7.xml"/><Relationship Id="rId22" Type="http://schemas.openxmlformats.org/officeDocument/2006/relationships/footer" Target="footer6.xml"/><Relationship Id="rId23" Type="http://schemas.openxmlformats.org/officeDocument/2006/relationships/footer" Target="footer7.xml"/><Relationship Id="rId24" Type="http://schemas.openxmlformats.org/officeDocument/2006/relationships/header" Target="header8.xml"/><Relationship Id="rId25" Type="http://schemas.openxmlformats.org/officeDocument/2006/relationships/header" Target="header9.xml"/><Relationship Id="rId26" Type="http://schemas.openxmlformats.org/officeDocument/2006/relationships/header" Target="header10.xml"/><Relationship Id="rId27" Type="http://schemas.openxmlformats.org/officeDocument/2006/relationships/footer" Target="footer8.xml"/><Relationship Id="rId28" Type="http://schemas.openxmlformats.org/officeDocument/2006/relationships/footer" Target="footer9.xml"/><Relationship Id="rId29" Type="http://schemas.openxmlformats.org/officeDocument/2006/relationships/footer" Target="footer10.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
</Relationships>
</file>

<file path=word/_rels/footer10.xml.rels><?xml version="1.0" encoding="UTF-8"?>
<Relationships xmlns="http://schemas.openxmlformats.org/package/2006/relationships"><Relationship Id="rId1" Type="http://schemas.openxmlformats.org/officeDocument/2006/relationships/hyperlink" Target="http://www.cerema.fr/" TargetMode="External"/><Relationship Id="rId2" Type="http://schemas.openxmlformats.org/officeDocument/2006/relationships/hyperlink" Target="https://twitter.com/ceremacom" TargetMode="External"/><Relationship Id="rId3" Type="http://schemas.openxmlformats.org/officeDocument/2006/relationships/hyperlink" Target="https://www.linkedin.com/company/cerema" TargetMode="External"/><Relationship Id="rId4" Type="http://schemas.openxmlformats.org/officeDocument/2006/relationships/hyperlink" Target="http://www.cerema.fr/" TargetMode="External"/><Relationship Id="rId5" Type="http://schemas.openxmlformats.org/officeDocument/2006/relationships/hyperlink" Target="https://twitter.com/ceremacom" TargetMode="External"/><Relationship Id="rId6" Type="http://schemas.openxmlformats.org/officeDocument/2006/relationships/hyperlink" Target="https://www.linkedin.com/company/cerema" TargetMode="External"/><Relationship Id="rId7" Type="http://schemas.openxmlformats.org/officeDocument/2006/relationships/image" Target="media/image15.png"/><Relationship Id="rId8" Type="http://schemas.microsoft.com/office/2007/relationships/hdphoto" Target="media/hdphoto1.wdp"/><Relationship Id="rId9" Type="http://schemas.openxmlformats.org/officeDocument/2006/relationships/image" Target="media/image16.png"/><Relationship Id="rId10" Type="http://schemas.microsoft.com/office/2007/relationships/hdphoto" Target="media/hdphoto2.wdp"/>
</Relationships>
</file>

<file path=word/_rels/header10.xml.rels><?xml version="1.0" encoding="UTF-8"?>
<Relationships xmlns="http://schemas.openxmlformats.org/package/2006/relationships"><Relationship Id="rId1" Type="http://schemas.openxmlformats.org/officeDocument/2006/relationships/image" Target="media/image13.png"/><Relationship Id="rId2" Type="http://schemas.openxmlformats.org/officeDocument/2006/relationships/image" Target="media/image14.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_rels/header3.xml.rels><?xml version="1.0" encoding="UTF-8"?>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4.png"/>
</Relationships>
</file>

<file path=word/_rels/header4.xml.rels><?xml version="1.0" encoding="UTF-8"?>
<Relationships xmlns="http://schemas.openxmlformats.org/package/2006/relationships"><Relationship Id="rId1" Type="http://schemas.openxmlformats.org/officeDocument/2006/relationships/image" Target="media/image12.png"/>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7CED9D-75BE-8C47-BF37-8A468A947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Application>LibreOffice/7.1.8.1$Windows_X86_64 LibreOffice_project/e1f30c802c3269a1d052614453f260e49458c82c</Application>
  <AppVersion>15.0000</AppVersion>
  <Pages>40</Pages>
  <Words>5743</Words>
  <Characters>25135</Characters>
  <CharactersWithSpaces>28587</CharactersWithSpaces>
  <Paragraphs>2297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2023-02-13T13:59:03Z</dcterms:created>
  <dc:creator/>
  <dc:description/>
  <dc:language>fr-FR</dc:language>
  <cp:lastModifiedBy/>
  <cp:revision>1</cp:revision>
  <dc:subject/>
  <dc:title/>
</cp:coreProperties>
</file>

<file path=docProps/custom.xml><?xml version="1.0" encoding="utf-8"?>
<Properties xmlns="http://schemas.openxmlformats.org/officeDocument/2006/custom-properties" xmlns:vt="http://schemas.openxmlformats.org/officeDocument/2006/docPropsVTypes"/>
</file>